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208" w:lineRule="auto" w:before="109"/>
        <w:ind w:left="4786"/>
      </w:pPr>
      <w:r>
        <w:rPr>
          <w:b w:val="0"/>
          <w:color w:val="913592"/>
        </w:rPr>
        <w:t>2.3 </w:t>
      </w:r>
      <w:r>
        <w:rPr>
          <w:color w:val="913592"/>
        </w:rPr>
        <w:t>LISTE D’INDICATEURS CLÉS SUR LE COÛT ET LE FINANCEMENT DE L’EPE ET VARIANTES CORRESPONDANTES</w:t>
      </w:r>
    </w:p>
    <w:p>
      <w:pPr>
        <w:pStyle w:val="BodyText"/>
        <w:spacing w:before="8"/>
        <w:rPr>
          <w:b/>
          <w:sz w:val="42"/>
        </w:rPr>
      </w:pPr>
    </w:p>
    <w:p>
      <w:pPr>
        <w:pStyle w:val="BodyText"/>
        <w:spacing w:line="292" w:lineRule="auto"/>
        <w:ind w:left="533" w:right="792"/>
        <w:jc w:val="both"/>
      </w:pPr>
      <w:r>
        <w:rPr>
          <w:color w:val="58595B"/>
        </w:rPr>
        <w:t>Le</w:t>
      </w:r>
      <w:r>
        <w:rPr>
          <w:color w:val="58595B"/>
          <w:spacing w:val="-14"/>
        </w:rPr>
        <w:t> </w:t>
      </w:r>
      <w:r>
        <w:rPr>
          <w:color w:val="58595B"/>
        </w:rPr>
        <w:t>tableau</w:t>
      </w:r>
      <w:r>
        <w:rPr>
          <w:color w:val="58595B"/>
          <w:spacing w:val="-13"/>
        </w:rPr>
        <w:t> </w:t>
      </w:r>
      <w:r>
        <w:rPr>
          <w:color w:val="58595B"/>
        </w:rPr>
        <w:t>1</w:t>
      </w:r>
      <w:r>
        <w:rPr>
          <w:color w:val="58595B"/>
          <w:spacing w:val="-14"/>
        </w:rPr>
        <w:t> </w:t>
      </w:r>
      <w:r>
        <w:rPr>
          <w:color w:val="58595B"/>
        </w:rPr>
        <w:t>ci-dessous</w:t>
      </w:r>
      <w:r>
        <w:rPr>
          <w:color w:val="58595B"/>
          <w:spacing w:val="-12"/>
        </w:rPr>
        <w:t> </w:t>
      </w:r>
      <w:r>
        <w:rPr>
          <w:color w:val="58595B"/>
        </w:rPr>
        <w:t>présente</w:t>
      </w:r>
      <w:r>
        <w:rPr>
          <w:color w:val="58595B"/>
          <w:spacing w:val="-13"/>
        </w:rPr>
        <w:t> </w:t>
      </w:r>
      <w:r>
        <w:rPr>
          <w:color w:val="58595B"/>
        </w:rPr>
        <w:t>les</w:t>
      </w:r>
      <w:r>
        <w:rPr>
          <w:color w:val="58595B"/>
          <w:spacing w:val="-14"/>
        </w:rPr>
        <w:t> </w:t>
      </w:r>
      <w:r>
        <w:rPr>
          <w:color w:val="58595B"/>
        </w:rPr>
        <w:t>principaux</w:t>
      </w:r>
      <w:r>
        <w:rPr>
          <w:color w:val="58595B"/>
          <w:spacing w:val="-12"/>
        </w:rPr>
        <w:t> </w:t>
      </w:r>
      <w:r>
        <w:rPr>
          <w:color w:val="58595B"/>
        </w:rPr>
        <w:t>indicateurs</w:t>
      </w:r>
      <w:r>
        <w:rPr>
          <w:color w:val="58595B"/>
          <w:spacing w:val="-12"/>
        </w:rPr>
        <w:t> </w:t>
      </w:r>
      <w:r>
        <w:rPr>
          <w:color w:val="58595B"/>
        </w:rPr>
        <w:t>relatifs</w:t>
      </w:r>
      <w:r>
        <w:rPr>
          <w:color w:val="58595B"/>
          <w:spacing w:val="-14"/>
        </w:rPr>
        <w:t> </w:t>
      </w:r>
      <w:r>
        <w:rPr>
          <w:color w:val="58595B"/>
        </w:rPr>
        <w:t>au</w:t>
      </w:r>
      <w:r>
        <w:rPr>
          <w:color w:val="58595B"/>
          <w:spacing w:val="-13"/>
        </w:rPr>
        <w:t> </w:t>
      </w:r>
      <w:r>
        <w:rPr>
          <w:color w:val="58595B"/>
        </w:rPr>
        <w:t>coût</w:t>
      </w:r>
      <w:r>
        <w:rPr>
          <w:color w:val="58595B"/>
          <w:spacing w:val="-13"/>
        </w:rPr>
        <w:t> </w:t>
      </w:r>
      <w:r>
        <w:rPr>
          <w:color w:val="58595B"/>
        </w:rPr>
        <w:t>et</w:t>
      </w:r>
      <w:r>
        <w:rPr>
          <w:color w:val="58595B"/>
          <w:spacing w:val="-14"/>
        </w:rPr>
        <w:t> </w:t>
      </w:r>
      <w:r>
        <w:rPr>
          <w:color w:val="58595B"/>
        </w:rPr>
        <w:t>au</w:t>
      </w:r>
      <w:r>
        <w:rPr>
          <w:color w:val="58595B"/>
          <w:spacing w:val="-13"/>
        </w:rPr>
        <w:t> </w:t>
      </w:r>
      <w:r>
        <w:rPr>
          <w:color w:val="58595B"/>
        </w:rPr>
        <w:t>financement</w:t>
      </w:r>
      <w:r>
        <w:rPr>
          <w:color w:val="58595B"/>
          <w:spacing w:val="-13"/>
        </w:rPr>
        <w:t> </w:t>
      </w:r>
      <w:r>
        <w:rPr>
          <w:color w:val="58595B"/>
        </w:rPr>
        <w:t>de</w:t>
      </w:r>
      <w:r>
        <w:rPr>
          <w:color w:val="58595B"/>
          <w:spacing w:val="-13"/>
        </w:rPr>
        <w:t> </w:t>
      </w:r>
      <w:r>
        <w:rPr>
          <w:color w:val="58595B"/>
        </w:rPr>
        <w:t>l’EPE</w:t>
      </w:r>
      <w:r>
        <w:rPr>
          <w:color w:val="58595B"/>
          <w:spacing w:val="-13"/>
        </w:rPr>
        <w:t> </w:t>
      </w:r>
      <w:r>
        <w:rPr>
          <w:color w:val="58595B"/>
        </w:rPr>
        <w:t>selon</w:t>
      </w:r>
      <w:r>
        <w:rPr>
          <w:color w:val="58595B"/>
          <w:spacing w:val="-13"/>
        </w:rPr>
        <w:t> </w:t>
      </w:r>
      <w:r>
        <w:rPr>
          <w:color w:val="58595B"/>
        </w:rPr>
        <w:t>trois</w:t>
      </w:r>
      <w:r>
        <w:rPr>
          <w:color w:val="58595B"/>
          <w:spacing w:val="-11"/>
        </w:rPr>
        <w:t> </w:t>
      </w:r>
      <w:r>
        <w:rPr>
          <w:color w:val="58595B"/>
        </w:rPr>
        <w:t>niveaux</w:t>
      </w:r>
      <w:r>
        <w:rPr>
          <w:color w:val="58595B"/>
          <w:spacing w:val="-12"/>
        </w:rPr>
        <w:t> </w:t>
      </w:r>
      <w:r>
        <w:rPr>
          <w:color w:val="58595B"/>
        </w:rPr>
        <w:t>de</w:t>
      </w:r>
      <w:r>
        <w:rPr>
          <w:color w:val="58595B"/>
          <w:spacing w:val="-14"/>
        </w:rPr>
        <w:t> </w:t>
      </w:r>
      <w:r>
        <w:rPr>
          <w:color w:val="58595B"/>
        </w:rPr>
        <w:t>priorité</w:t>
      </w:r>
      <w:r>
        <w:rPr>
          <w:color w:val="58595B"/>
          <w:spacing w:val="-13"/>
        </w:rPr>
        <w:t> </w:t>
      </w:r>
      <w:r>
        <w:rPr>
          <w:color w:val="58595B"/>
        </w:rPr>
        <w:t>de</w:t>
      </w:r>
      <w:r>
        <w:rPr>
          <w:color w:val="58595B"/>
          <w:spacing w:val="-13"/>
        </w:rPr>
        <w:t> </w:t>
      </w:r>
      <w:r>
        <w:rPr>
          <w:color w:val="58595B"/>
        </w:rPr>
        <w:t>différentes</w:t>
      </w:r>
      <w:r>
        <w:rPr>
          <w:color w:val="58595B"/>
          <w:spacing w:val="-13"/>
        </w:rPr>
        <w:t> </w:t>
      </w:r>
      <w:r>
        <w:rPr>
          <w:color w:val="58595B"/>
        </w:rPr>
        <w:t>couleurs en</w:t>
      </w:r>
      <w:r>
        <w:rPr>
          <w:color w:val="58595B"/>
          <w:spacing w:val="-14"/>
        </w:rPr>
        <w:t> </w:t>
      </w:r>
      <w:r>
        <w:rPr>
          <w:color w:val="58595B"/>
        </w:rPr>
        <w:t>fonction</w:t>
      </w:r>
      <w:r>
        <w:rPr>
          <w:color w:val="58595B"/>
          <w:spacing w:val="-12"/>
        </w:rPr>
        <w:t> </w:t>
      </w:r>
      <w:r>
        <w:rPr>
          <w:color w:val="58595B"/>
        </w:rPr>
        <w:t>de</w:t>
      </w:r>
      <w:r>
        <w:rPr>
          <w:color w:val="58595B"/>
          <w:spacing w:val="-14"/>
        </w:rPr>
        <w:t> </w:t>
      </w:r>
      <w:r>
        <w:rPr>
          <w:color w:val="58595B"/>
        </w:rPr>
        <w:t>leur</w:t>
      </w:r>
      <w:r>
        <w:rPr>
          <w:color w:val="58595B"/>
          <w:spacing w:val="-13"/>
        </w:rPr>
        <w:t> </w:t>
      </w:r>
      <w:r>
        <w:rPr>
          <w:color w:val="58595B"/>
        </w:rPr>
        <w:t>importance</w:t>
      </w:r>
      <w:r>
        <w:rPr>
          <w:color w:val="58595B"/>
          <w:spacing w:val="-14"/>
        </w:rPr>
        <w:t> </w:t>
      </w:r>
      <w:r>
        <w:rPr>
          <w:color w:val="58595B"/>
        </w:rPr>
        <w:t>relative</w:t>
      </w:r>
      <w:r>
        <w:rPr>
          <w:color w:val="58595B"/>
          <w:spacing w:val="-12"/>
        </w:rPr>
        <w:t> </w:t>
      </w:r>
      <w:r>
        <w:rPr>
          <w:color w:val="58595B"/>
        </w:rPr>
        <w:t>dans</w:t>
      </w:r>
      <w:r>
        <w:rPr>
          <w:color w:val="58595B"/>
          <w:spacing w:val="-14"/>
        </w:rPr>
        <w:t> </w:t>
      </w:r>
      <w:r>
        <w:rPr>
          <w:color w:val="58595B"/>
        </w:rPr>
        <w:t>la</w:t>
      </w:r>
      <w:r>
        <w:rPr>
          <w:color w:val="58595B"/>
          <w:spacing w:val="-13"/>
        </w:rPr>
        <w:t> </w:t>
      </w:r>
      <w:r>
        <w:rPr>
          <w:color w:val="58595B"/>
        </w:rPr>
        <w:t>compréhension</w:t>
      </w:r>
      <w:r>
        <w:rPr>
          <w:color w:val="58595B"/>
          <w:spacing w:val="-13"/>
        </w:rPr>
        <w:t> </w:t>
      </w:r>
      <w:r>
        <w:rPr>
          <w:color w:val="58595B"/>
        </w:rPr>
        <w:t>et</w:t>
      </w:r>
      <w:r>
        <w:rPr>
          <w:color w:val="58595B"/>
          <w:spacing w:val="-13"/>
        </w:rPr>
        <w:t> </w:t>
      </w:r>
      <w:r>
        <w:rPr>
          <w:color w:val="58595B"/>
        </w:rPr>
        <w:t>la</w:t>
      </w:r>
      <w:r>
        <w:rPr>
          <w:color w:val="58595B"/>
          <w:spacing w:val="-14"/>
        </w:rPr>
        <w:t> </w:t>
      </w:r>
      <w:r>
        <w:rPr>
          <w:color w:val="58595B"/>
        </w:rPr>
        <w:t>projection</w:t>
      </w:r>
      <w:r>
        <w:rPr>
          <w:color w:val="58595B"/>
          <w:spacing w:val="-12"/>
        </w:rPr>
        <w:t> </w:t>
      </w:r>
      <w:r>
        <w:rPr>
          <w:color w:val="58595B"/>
        </w:rPr>
        <w:t>des</w:t>
      </w:r>
      <w:r>
        <w:rPr>
          <w:color w:val="58595B"/>
          <w:spacing w:val="-14"/>
        </w:rPr>
        <w:t> </w:t>
      </w:r>
      <w:r>
        <w:rPr>
          <w:color w:val="58595B"/>
        </w:rPr>
        <w:t>coûts</w:t>
      </w:r>
      <w:r>
        <w:rPr>
          <w:color w:val="58595B"/>
          <w:spacing w:val="-13"/>
        </w:rPr>
        <w:t> </w:t>
      </w:r>
      <w:r>
        <w:rPr>
          <w:color w:val="58595B"/>
        </w:rPr>
        <w:t>et</w:t>
      </w:r>
      <w:r>
        <w:rPr>
          <w:color w:val="58595B"/>
          <w:spacing w:val="-14"/>
        </w:rPr>
        <w:t> </w:t>
      </w:r>
      <w:r>
        <w:rPr>
          <w:color w:val="58595B"/>
        </w:rPr>
        <w:t>financements</w:t>
      </w:r>
      <w:r>
        <w:rPr>
          <w:color w:val="58595B"/>
          <w:spacing w:val="-12"/>
        </w:rPr>
        <w:t> </w:t>
      </w:r>
      <w:r>
        <w:rPr>
          <w:color w:val="58595B"/>
        </w:rPr>
        <w:t>publics</w:t>
      </w:r>
      <w:r>
        <w:rPr>
          <w:color w:val="58595B"/>
          <w:spacing w:val="-14"/>
        </w:rPr>
        <w:t> </w:t>
      </w:r>
      <w:r>
        <w:rPr>
          <w:color w:val="58595B"/>
        </w:rPr>
        <w:t>de</w:t>
      </w:r>
      <w:r>
        <w:rPr>
          <w:color w:val="58595B"/>
          <w:spacing w:val="-13"/>
        </w:rPr>
        <w:t> </w:t>
      </w:r>
      <w:r>
        <w:rPr>
          <w:color w:val="58595B"/>
        </w:rPr>
        <w:t>l’EPE.</w:t>
      </w:r>
      <w:r>
        <w:rPr>
          <w:color w:val="58595B"/>
          <w:spacing w:val="-14"/>
        </w:rPr>
        <w:t> </w:t>
      </w:r>
      <w:r>
        <w:rPr>
          <w:color w:val="58595B"/>
        </w:rPr>
        <w:t>Les</w:t>
      </w:r>
      <w:r>
        <w:rPr>
          <w:color w:val="58595B"/>
          <w:spacing w:val="-13"/>
        </w:rPr>
        <w:t> </w:t>
      </w:r>
      <w:r>
        <w:rPr>
          <w:color w:val="58595B"/>
        </w:rPr>
        <w:t>indicateurs</w:t>
      </w:r>
      <w:r>
        <w:rPr>
          <w:color w:val="58595B"/>
          <w:spacing w:val="-14"/>
        </w:rPr>
        <w:t> </w:t>
      </w:r>
      <w:r>
        <w:rPr>
          <w:color w:val="58595B"/>
        </w:rPr>
        <w:t>complémentaires sont répertoriés ensemble. Par exemple, l’indicateur faiblement prioritaire « Dépenses publiques consacrées à l’EPE en pourcentage du produit intérieur brut</w:t>
      </w:r>
      <w:r>
        <w:rPr>
          <w:color w:val="58595B"/>
          <w:spacing w:val="-3"/>
        </w:rPr>
        <w:t> </w:t>
      </w:r>
      <w:r>
        <w:rPr>
          <w:color w:val="58595B"/>
        </w:rPr>
        <w:t>»</w:t>
      </w:r>
      <w:r>
        <w:rPr>
          <w:color w:val="58595B"/>
          <w:spacing w:val="-3"/>
        </w:rPr>
        <w:t> </w:t>
      </w:r>
      <w:r>
        <w:rPr>
          <w:color w:val="58595B"/>
        </w:rPr>
        <w:t>vient</w:t>
      </w:r>
      <w:r>
        <w:rPr>
          <w:color w:val="58595B"/>
          <w:spacing w:val="-2"/>
        </w:rPr>
        <w:t> </w:t>
      </w:r>
      <w:r>
        <w:rPr>
          <w:color w:val="58595B"/>
        </w:rPr>
        <w:t>après</w:t>
      </w:r>
      <w:r>
        <w:rPr>
          <w:color w:val="58595B"/>
          <w:spacing w:val="-3"/>
        </w:rPr>
        <w:t> </w:t>
      </w:r>
      <w:r>
        <w:rPr>
          <w:color w:val="58595B"/>
        </w:rPr>
        <w:t>l’indicateur</w:t>
      </w:r>
      <w:r>
        <w:rPr>
          <w:color w:val="58595B"/>
          <w:spacing w:val="-3"/>
        </w:rPr>
        <w:t> </w:t>
      </w:r>
      <w:r>
        <w:rPr>
          <w:color w:val="58595B"/>
        </w:rPr>
        <w:t>hautement</w:t>
      </w:r>
      <w:r>
        <w:rPr>
          <w:color w:val="58595B"/>
          <w:spacing w:val="-3"/>
        </w:rPr>
        <w:t> </w:t>
      </w:r>
      <w:r>
        <w:rPr>
          <w:color w:val="58595B"/>
        </w:rPr>
        <w:t>prioritaire</w:t>
      </w:r>
      <w:r>
        <w:rPr>
          <w:color w:val="58595B"/>
          <w:spacing w:val="-3"/>
        </w:rPr>
        <w:t> </w:t>
      </w:r>
      <w:r>
        <w:rPr>
          <w:color w:val="58595B"/>
        </w:rPr>
        <w:t>«</w:t>
      </w:r>
      <w:r>
        <w:rPr>
          <w:color w:val="58595B"/>
          <w:spacing w:val="-2"/>
        </w:rPr>
        <w:t> </w:t>
      </w:r>
      <w:r>
        <w:rPr>
          <w:color w:val="58595B"/>
        </w:rPr>
        <w:t>Dépenses</w:t>
      </w:r>
      <w:r>
        <w:rPr>
          <w:color w:val="58595B"/>
          <w:spacing w:val="-3"/>
        </w:rPr>
        <w:t> </w:t>
      </w:r>
      <w:r>
        <w:rPr>
          <w:color w:val="58595B"/>
        </w:rPr>
        <w:t>publiques</w:t>
      </w:r>
      <w:r>
        <w:rPr>
          <w:color w:val="58595B"/>
          <w:spacing w:val="-3"/>
        </w:rPr>
        <w:t> </w:t>
      </w:r>
      <w:r>
        <w:rPr>
          <w:color w:val="58595B"/>
        </w:rPr>
        <w:t>consacrées</w:t>
      </w:r>
      <w:r>
        <w:rPr>
          <w:color w:val="58595B"/>
          <w:spacing w:val="-2"/>
        </w:rPr>
        <w:t> </w:t>
      </w:r>
      <w:r>
        <w:rPr>
          <w:color w:val="58595B"/>
        </w:rPr>
        <w:t>à</w:t>
      </w:r>
      <w:r>
        <w:rPr>
          <w:color w:val="58595B"/>
          <w:spacing w:val="-3"/>
        </w:rPr>
        <w:t> </w:t>
      </w:r>
      <w:r>
        <w:rPr>
          <w:color w:val="58595B"/>
        </w:rPr>
        <w:t>l’EPE</w:t>
      </w:r>
      <w:r>
        <w:rPr>
          <w:color w:val="58595B"/>
          <w:spacing w:val="-3"/>
        </w:rPr>
        <w:t> </w:t>
      </w:r>
      <w:r>
        <w:rPr>
          <w:color w:val="58595B"/>
        </w:rPr>
        <w:t>en</w:t>
      </w:r>
      <w:r>
        <w:rPr>
          <w:color w:val="58595B"/>
          <w:spacing w:val="-3"/>
        </w:rPr>
        <w:t> </w:t>
      </w:r>
      <w:r>
        <w:rPr>
          <w:color w:val="58595B"/>
        </w:rPr>
        <w:t>pourcentage</w:t>
      </w:r>
      <w:r>
        <w:rPr>
          <w:color w:val="58595B"/>
          <w:spacing w:val="-3"/>
        </w:rPr>
        <w:t> </w:t>
      </w:r>
      <w:r>
        <w:rPr>
          <w:color w:val="58595B"/>
        </w:rPr>
        <w:t>des</w:t>
      </w:r>
      <w:r>
        <w:rPr>
          <w:color w:val="58595B"/>
          <w:spacing w:val="-3"/>
        </w:rPr>
        <w:t> </w:t>
      </w:r>
      <w:r>
        <w:rPr>
          <w:color w:val="58595B"/>
        </w:rPr>
        <w:t>dépenses</w:t>
      </w:r>
      <w:r>
        <w:rPr>
          <w:color w:val="58595B"/>
          <w:spacing w:val="-3"/>
        </w:rPr>
        <w:t> </w:t>
      </w:r>
      <w:r>
        <w:rPr>
          <w:color w:val="58595B"/>
        </w:rPr>
        <w:t>d’éducation</w:t>
      </w:r>
      <w:r>
        <w:rPr>
          <w:color w:val="58595B"/>
          <w:spacing w:val="-2"/>
        </w:rPr>
        <w:t> </w:t>
      </w:r>
      <w:r>
        <w:rPr>
          <w:color w:val="58595B"/>
        </w:rPr>
        <w:t>».</w:t>
      </w:r>
    </w:p>
    <w:p>
      <w:pPr>
        <w:pStyle w:val="BodyText"/>
      </w:pPr>
    </w:p>
    <w:p>
      <w:pPr>
        <w:pStyle w:val="BodyText"/>
        <w:spacing w:before="9"/>
        <w:rPr>
          <w:sz w:val="22"/>
        </w:rPr>
      </w:pPr>
    </w:p>
    <w:tbl>
      <w:tblPr>
        <w:tblW w:w="0" w:type="auto"/>
        <w:jc w:val="left"/>
        <w:tblInd w:w="55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0" w:type="dxa"/>
          <w:bottom w:w="0" w:type="dxa"/>
          <w:right w:w="0" w:type="dxa"/>
        </w:tblCellMar>
        <w:tblLook w:val="01E0"/>
      </w:tblPr>
      <w:tblGrid>
        <w:gridCol w:w="4521"/>
        <w:gridCol w:w="4521"/>
        <w:gridCol w:w="4521"/>
      </w:tblGrid>
      <w:tr>
        <w:trPr>
          <w:trHeight w:val="2275" w:hRule="atLeast"/>
        </w:trPr>
        <w:tc>
          <w:tcPr>
            <w:tcW w:w="4521" w:type="dxa"/>
            <w:shd w:val="clear" w:color="auto" w:fill="F9D8D4"/>
          </w:tcPr>
          <w:p>
            <w:pPr>
              <w:pStyle w:val="TableParagraph"/>
              <w:spacing w:before="9"/>
              <w:rPr>
                <w:sz w:val="23"/>
              </w:rPr>
            </w:pPr>
          </w:p>
          <w:p>
            <w:pPr>
              <w:pStyle w:val="TableParagraph"/>
              <w:ind w:left="283"/>
              <w:rPr>
                <w:sz w:val="20"/>
              </w:rPr>
            </w:pPr>
            <w:r>
              <w:rPr>
                <w:sz w:val="20"/>
              </w:rPr>
              <w:drawing>
                <wp:inline distT="0" distB="0" distL="0" distR="0">
                  <wp:extent cx="1267029" cy="180975"/>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267029" cy="180975"/>
                          </a:xfrm>
                          <a:prstGeom prst="rect">
                            <a:avLst/>
                          </a:prstGeom>
                        </pic:spPr>
                      </pic:pic>
                    </a:graphicData>
                  </a:graphic>
                </wp:inline>
              </w:drawing>
            </w:r>
            <w:r>
              <w:rPr>
                <w:sz w:val="20"/>
              </w:rPr>
            </w:r>
          </w:p>
          <w:p>
            <w:pPr>
              <w:pStyle w:val="TableParagraph"/>
              <w:spacing w:before="136"/>
              <w:ind w:left="283"/>
              <w:rPr>
                <w:b/>
                <w:sz w:val="20"/>
              </w:rPr>
            </w:pPr>
            <w:r>
              <w:rPr>
                <w:b/>
                <w:color w:val="58595B"/>
                <w:sz w:val="20"/>
              </w:rPr>
              <w:t>Indicateurs absolument prioritaires</w:t>
            </w:r>
          </w:p>
          <w:p>
            <w:pPr>
              <w:pStyle w:val="TableParagraph"/>
              <w:spacing w:line="264" w:lineRule="auto" w:before="104"/>
              <w:ind w:left="283" w:right="321"/>
              <w:rPr>
                <w:sz w:val="19"/>
              </w:rPr>
            </w:pPr>
            <w:r>
              <w:rPr>
                <w:color w:val="58595B"/>
                <w:sz w:val="19"/>
              </w:rPr>
              <w:t>Ces indicateurs sont fondamentaux pour bien comprendre les dépenses et les financements publics du sous-secteur ainsi que réaliser la modélisation et la projection de ces coûts.</w:t>
            </w:r>
          </w:p>
        </w:tc>
        <w:tc>
          <w:tcPr>
            <w:tcW w:w="4521" w:type="dxa"/>
            <w:shd w:val="clear" w:color="auto" w:fill="FEEDD2"/>
          </w:tcPr>
          <w:p>
            <w:pPr>
              <w:pStyle w:val="TableParagraph"/>
              <w:spacing w:before="8" w:after="1"/>
              <w:rPr>
                <w:sz w:val="23"/>
              </w:rPr>
            </w:pPr>
          </w:p>
          <w:p>
            <w:pPr>
              <w:pStyle w:val="TableParagraph"/>
              <w:ind w:left="283"/>
              <w:rPr>
                <w:sz w:val="20"/>
              </w:rPr>
            </w:pPr>
            <w:r>
              <w:rPr>
                <w:sz w:val="20"/>
              </w:rPr>
              <w:drawing>
                <wp:inline distT="0" distB="0" distL="0" distR="0">
                  <wp:extent cx="1151934" cy="180975"/>
                  <wp:effectExtent l="0" t="0" r="0" b="0"/>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151934" cy="180975"/>
                          </a:xfrm>
                          <a:prstGeom prst="rect">
                            <a:avLst/>
                          </a:prstGeom>
                        </pic:spPr>
                      </pic:pic>
                    </a:graphicData>
                  </a:graphic>
                </wp:inline>
              </w:drawing>
            </w:r>
            <w:r>
              <w:rPr>
                <w:sz w:val="20"/>
              </w:rPr>
            </w:r>
          </w:p>
          <w:p>
            <w:pPr>
              <w:pStyle w:val="TableParagraph"/>
              <w:spacing w:before="135"/>
              <w:ind w:left="283"/>
              <w:rPr>
                <w:b/>
                <w:sz w:val="20"/>
              </w:rPr>
            </w:pPr>
            <w:r>
              <w:rPr>
                <w:b/>
                <w:color w:val="58595B"/>
                <w:sz w:val="20"/>
              </w:rPr>
              <w:t>Indicateurs hautement prioritaires</w:t>
            </w:r>
          </w:p>
          <w:p>
            <w:pPr>
              <w:pStyle w:val="TableParagraph"/>
              <w:spacing w:line="264" w:lineRule="auto" w:before="105"/>
              <w:ind w:left="283" w:right="343"/>
              <w:rPr>
                <w:sz w:val="19"/>
              </w:rPr>
            </w:pPr>
            <w:r>
              <w:rPr>
                <w:color w:val="58595B"/>
                <w:sz w:val="19"/>
              </w:rPr>
              <w:t>Ces indicateurs permettent de mieux comprendre les facteurs de coût et de simuler le coût des politiques envisagées.</w:t>
            </w:r>
          </w:p>
        </w:tc>
        <w:tc>
          <w:tcPr>
            <w:tcW w:w="4521" w:type="dxa"/>
            <w:shd w:val="clear" w:color="auto" w:fill="E6F2D9"/>
          </w:tcPr>
          <w:p>
            <w:pPr>
              <w:pStyle w:val="TableParagraph"/>
              <w:spacing w:before="9"/>
              <w:rPr>
                <w:sz w:val="23"/>
              </w:rPr>
            </w:pPr>
          </w:p>
          <w:p>
            <w:pPr>
              <w:pStyle w:val="TableParagraph"/>
              <w:ind w:left="282"/>
              <w:rPr>
                <w:sz w:val="20"/>
              </w:rPr>
            </w:pPr>
            <w:r>
              <w:rPr>
                <w:sz w:val="20"/>
              </w:rPr>
              <w:drawing>
                <wp:inline distT="0" distB="0" distL="0" distR="0">
                  <wp:extent cx="1325511" cy="180975"/>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1325511" cy="180975"/>
                          </a:xfrm>
                          <a:prstGeom prst="rect">
                            <a:avLst/>
                          </a:prstGeom>
                        </pic:spPr>
                      </pic:pic>
                    </a:graphicData>
                  </a:graphic>
                </wp:inline>
              </w:drawing>
            </w:r>
            <w:r>
              <w:rPr>
                <w:sz w:val="20"/>
              </w:rPr>
            </w:r>
          </w:p>
          <w:p>
            <w:pPr>
              <w:pStyle w:val="TableParagraph"/>
              <w:spacing w:before="136"/>
              <w:ind w:left="282"/>
              <w:rPr>
                <w:b/>
                <w:sz w:val="20"/>
              </w:rPr>
            </w:pPr>
            <w:r>
              <w:rPr>
                <w:b/>
                <w:color w:val="58595B"/>
                <w:sz w:val="20"/>
              </w:rPr>
              <w:t>Indicateurs faiblement prioritaires</w:t>
            </w:r>
          </w:p>
          <w:p>
            <w:pPr>
              <w:pStyle w:val="TableParagraph"/>
              <w:spacing w:before="104"/>
              <w:ind w:left="282"/>
              <w:rPr>
                <w:sz w:val="19"/>
              </w:rPr>
            </w:pPr>
            <w:r>
              <w:rPr>
                <w:color w:val="58595B"/>
                <w:sz w:val="19"/>
              </w:rPr>
              <w:t>Ces indicateurs apporteront des précisions</w:t>
            </w:r>
          </w:p>
          <w:p>
            <w:pPr>
              <w:pStyle w:val="TableParagraph"/>
              <w:spacing w:before="22"/>
              <w:ind w:left="282"/>
              <w:rPr>
                <w:sz w:val="19"/>
              </w:rPr>
            </w:pPr>
            <w:r>
              <w:rPr>
                <w:color w:val="58595B"/>
                <w:sz w:val="19"/>
              </w:rPr>
              <w:t>pour l’analyse et la projection des coûts.</w:t>
            </w:r>
          </w:p>
        </w:tc>
      </w:tr>
    </w:tbl>
    <w:p>
      <w:pPr>
        <w:pStyle w:val="BodyText"/>
      </w:pPr>
    </w:p>
    <w:p>
      <w:pPr>
        <w:pStyle w:val="BodyText"/>
        <w:spacing w:before="7"/>
        <w:rPr>
          <w:sz w:val="22"/>
        </w:rPr>
      </w:pPr>
    </w:p>
    <w:p>
      <w:pPr>
        <w:pStyle w:val="BodyText"/>
        <w:spacing w:line="292" w:lineRule="auto" w:before="1"/>
        <w:ind w:left="533" w:right="783"/>
      </w:pPr>
      <w:r>
        <w:rPr>
          <w:color w:val="58595B"/>
        </w:rPr>
        <w:t>Les indicateurs ci-dessous portent sur les coûts et financements publics de l’EPE au niveau national. Lorsque la gestion des finances publiques est décentralisée, il peut être important de comparer les valeurs des indicateurs à l’échelle infranationale.</w:t>
      </w:r>
    </w:p>
    <w:p>
      <w:pPr>
        <w:pStyle w:val="BodyText"/>
        <w:spacing w:line="292" w:lineRule="auto" w:before="112"/>
        <w:ind w:left="533" w:right="783"/>
      </w:pPr>
      <w:r>
        <w:rPr>
          <w:color w:val="58595B"/>
        </w:rPr>
        <w:t>Les indicateurs présentés permettent de comprendre et de modéliser les coûts et les financements publics de l’EPE, et ne tiennent pas compte des coûts et financements privés de l’EPE (sauf indication contraire).</w:t>
      </w:r>
    </w:p>
    <w:p>
      <w:pPr>
        <w:pStyle w:val="BodyText"/>
        <w:rPr>
          <w:sz w:val="22"/>
        </w:rPr>
      </w:pPr>
    </w:p>
    <w:p>
      <w:pPr>
        <w:pStyle w:val="BodyText"/>
        <w:spacing w:before="11"/>
        <w:rPr>
          <w:sz w:val="21"/>
        </w:rPr>
      </w:pPr>
    </w:p>
    <w:p>
      <w:pPr>
        <w:pStyle w:val="BodyText"/>
        <w:ind w:left="533"/>
      </w:pPr>
      <w:r>
        <w:rPr>
          <w:color w:val="58595B"/>
        </w:rPr>
        <w:t>Ils sont répertoriés dans deux tableaux :</w:t>
      </w:r>
    </w:p>
    <w:p>
      <w:pPr>
        <w:pStyle w:val="BodyText"/>
        <w:spacing w:before="163"/>
        <w:ind w:left="533"/>
      </w:pPr>
      <w:r>
        <w:rPr>
          <w:b/>
          <w:color w:val="58595B"/>
        </w:rPr>
        <w:t>Tableau 1 : </w:t>
      </w:r>
      <w:r>
        <w:rPr>
          <w:color w:val="58595B"/>
        </w:rPr>
        <w:t>Ressources et dépenses : niveau et composition de l’investissement public dans l’EPE et autres ressources éventuelles ;</w:t>
      </w:r>
    </w:p>
    <w:p>
      <w:pPr>
        <w:pStyle w:val="BodyText"/>
        <w:spacing w:line="292" w:lineRule="auto" w:before="164"/>
        <w:ind w:left="533" w:right="783"/>
      </w:pPr>
      <w:r>
        <w:rPr>
          <w:b/>
          <w:color w:val="58595B"/>
        </w:rPr>
        <w:t>Tableau 2 : </w:t>
      </w:r>
      <w:r>
        <w:rPr>
          <w:color w:val="58595B"/>
        </w:rPr>
        <w:t>Moyens stratégiques : principaux facteurs de coût du sous-secteur de l’EPE, regroupés dans les sous-catégories suivantes : enseignants ; infrastructures ; supports d’apprentissage ; dépenses sociales ; coûts de fonctionnement ; et moyens opérationnels.</w:t>
      </w:r>
    </w:p>
    <w:p>
      <w:pPr>
        <w:pStyle w:val="BodyText"/>
        <w:rPr>
          <w:sz w:val="22"/>
        </w:rPr>
      </w:pPr>
    </w:p>
    <w:p>
      <w:pPr>
        <w:pStyle w:val="BodyText"/>
        <w:spacing w:before="11"/>
        <w:rPr>
          <w:sz w:val="21"/>
        </w:rPr>
      </w:pPr>
    </w:p>
    <w:p>
      <w:pPr>
        <w:pStyle w:val="BodyText"/>
        <w:spacing w:line="292" w:lineRule="auto"/>
        <w:ind w:left="533" w:right="783"/>
      </w:pPr>
      <w:r>
        <w:rPr>
          <w:color w:val="58595B"/>
        </w:rPr>
        <w:t>Les</w:t>
      </w:r>
      <w:r>
        <w:rPr>
          <w:color w:val="58595B"/>
          <w:spacing w:val="-17"/>
        </w:rPr>
        <w:t> </w:t>
      </w:r>
      <w:r>
        <w:rPr>
          <w:color w:val="58595B"/>
        </w:rPr>
        <w:t>dépenses</w:t>
      </w:r>
      <w:r>
        <w:rPr>
          <w:color w:val="58595B"/>
          <w:spacing w:val="-16"/>
        </w:rPr>
        <w:t> </w:t>
      </w:r>
      <w:r>
        <w:rPr>
          <w:color w:val="58595B"/>
        </w:rPr>
        <w:t>mentionnées</w:t>
      </w:r>
      <w:r>
        <w:rPr>
          <w:color w:val="58595B"/>
          <w:spacing w:val="-17"/>
        </w:rPr>
        <w:t> </w:t>
      </w:r>
      <w:r>
        <w:rPr>
          <w:color w:val="58595B"/>
        </w:rPr>
        <w:t>avec</w:t>
      </w:r>
      <w:r>
        <w:rPr>
          <w:color w:val="58595B"/>
          <w:spacing w:val="-16"/>
        </w:rPr>
        <w:t> </w:t>
      </w:r>
      <w:r>
        <w:rPr>
          <w:color w:val="58595B"/>
        </w:rPr>
        <w:t>les</w:t>
      </w:r>
      <w:r>
        <w:rPr>
          <w:color w:val="58595B"/>
          <w:spacing w:val="-16"/>
        </w:rPr>
        <w:t> </w:t>
      </w:r>
      <w:r>
        <w:rPr>
          <w:color w:val="58595B"/>
        </w:rPr>
        <w:t>indicateurs</w:t>
      </w:r>
      <w:r>
        <w:rPr>
          <w:color w:val="58595B"/>
          <w:spacing w:val="-17"/>
        </w:rPr>
        <w:t> </w:t>
      </w:r>
      <w:r>
        <w:rPr>
          <w:color w:val="58595B"/>
        </w:rPr>
        <w:t>proviennent</w:t>
      </w:r>
      <w:r>
        <w:rPr>
          <w:color w:val="58595B"/>
          <w:spacing w:val="-16"/>
        </w:rPr>
        <w:t> </w:t>
      </w:r>
      <w:r>
        <w:rPr>
          <w:color w:val="58595B"/>
        </w:rPr>
        <w:t>souvent</w:t>
      </w:r>
      <w:r>
        <w:rPr>
          <w:color w:val="58595B"/>
          <w:spacing w:val="-17"/>
        </w:rPr>
        <w:t> </w:t>
      </w:r>
      <w:r>
        <w:rPr>
          <w:color w:val="58595B"/>
        </w:rPr>
        <w:t>de</w:t>
      </w:r>
      <w:r>
        <w:rPr>
          <w:color w:val="58595B"/>
          <w:spacing w:val="-16"/>
        </w:rPr>
        <w:t> </w:t>
      </w:r>
      <w:r>
        <w:rPr>
          <w:color w:val="58595B"/>
        </w:rPr>
        <w:t>sources</w:t>
      </w:r>
      <w:r>
        <w:rPr>
          <w:color w:val="58595B"/>
          <w:spacing w:val="-16"/>
        </w:rPr>
        <w:t> </w:t>
      </w:r>
      <w:r>
        <w:rPr>
          <w:color w:val="58595B"/>
        </w:rPr>
        <w:t>de</w:t>
      </w:r>
      <w:r>
        <w:rPr>
          <w:color w:val="58595B"/>
          <w:spacing w:val="-17"/>
        </w:rPr>
        <w:t> </w:t>
      </w:r>
      <w:r>
        <w:rPr>
          <w:color w:val="58595B"/>
        </w:rPr>
        <w:t>données</w:t>
      </w:r>
      <w:r>
        <w:rPr>
          <w:color w:val="58595B"/>
          <w:spacing w:val="-16"/>
        </w:rPr>
        <w:t> </w:t>
      </w:r>
      <w:r>
        <w:rPr>
          <w:color w:val="58595B"/>
        </w:rPr>
        <w:t>différentes,</w:t>
      </w:r>
      <w:r>
        <w:rPr>
          <w:color w:val="58595B"/>
          <w:spacing w:val="23"/>
        </w:rPr>
        <w:t> </w:t>
      </w:r>
      <w:r>
        <w:rPr>
          <w:color w:val="58595B"/>
        </w:rPr>
        <w:t>c’est</w:t>
      </w:r>
      <w:r>
        <w:rPr>
          <w:color w:val="58595B"/>
          <w:spacing w:val="-17"/>
        </w:rPr>
        <w:t> </w:t>
      </w:r>
      <w:r>
        <w:rPr>
          <w:color w:val="58595B"/>
        </w:rPr>
        <w:t>pourquoi</w:t>
      </w:r>
      <w:r>
        <w:rPr>
          <w:color w:val="58595B"/>
          <w:spacing w:val="-16"/>
        </w:rPr>
        <w:t> </w:t>
      </w:r>
      <w:r>
        <w:rPr>
          <w:color w:val="58595B"/>
        </w:rPr>
        <w:t>il</w:t>
      </w:r>
      <w:r>
        <w:rPr>
          <w:color w:val="58595B"/>
          <w:spacing w:val="-17"/>
        </w:rPr>
        <w:t> </w:t>
      </w:r>
      <w:r>
        <w:rPr>
          <w:color w:val="58595B"/>
        </w:rPr>
        <w:t>conviendra</w:t>
      </w:r>
      <w:r>
        <w:rPr>
          <w:color w:val="58595B"/>
          <w:spacing w:val="-16"/>
        </w:rPr>
        <w:t> </w:t>
      </w:r>
      <w:r>
        <w:rPr>
          <w:color w:val="58595B"/>
        </w:rPr>
        <w:t>d’établir</w:t>
      </w:r>
      <w:r>
        <w:rPr>
          <w:color w:val="58595B"/>
          <w:spacing w:val="-16"/>
        </w:rPr>
        <w:t> </w:t>
      </w:r>
      <w:r>
        <w:rPr>
          <w:color w:val="58595B"/>
        </w:rPr>
        <w:t>un</w:t>
      </w:r>
      <w:r>
        <w:rPr>
          <w:color w:val="58595B"/>
          <w:spacing w:val="-17"/>
        </w:rPr>
        <w:t> </w:t>
      </w:r>
      <w:r>
        <w:rPr>
          <w:color w:val="58595B"/>
        </w:rPr>
        <w:t>processus transparent afin de permettre leur</w:t>
      </w:r>
      <w:r>
        <w:rPr>
          <w:color w:val="58595B"/>
          <w:spacing w:val="-5"/>
        </w:rPr>
        <w:t> </w:t>
      </w:r>
      <w:r>
        <w:rPr>
          <w:color w:val="58595B"/>
        </w:rPr>
        <w:t>rapprochement.</w:t>
      </w:r>
    </w:p>
    <w:p>
      <w:pPr>
        <w:spacing w:after="0" w:line="292" w:lineRule="auto"/>
        <w:sectPr>
          <w:type w:val="continuous"/>
          <w:pgSz w:w="15840" w:h="12240" w:orient="landscape"/>
          <w:pgMar w:top="1000" w:bottom="280" w:left="600" w:right="340"/>
        </w:sectPr>
      </w:pPr>
    </w:p>
    <w:p>
      <w:pPr>
        <w:spacing w:line="294" w:lineRule="exact" w:before="0"/>
        <w:ind w:left="233" w:right="0" w:firstLine="0"/>
        <w:jc w:val="left"/>
        <w:rPr>
          <w:b/>
          <w:sz w:val="26"/>
        </w:rPr>
      </w:pPr>
      <w:r>
        <w:rPr>
          <w:b/>
          <w:color w:val="58595B"/>
          <w:sz w:val="26"/>
        </w:rPr>
        <w:t>Indicateurs relatifs aux coûts et financements publics de l’EPE</w:t>
      </w:r>
    </w:p>
    <w:p>
      <w:pPr>
        <w:pStyle w:val="Heading2"/>
        <w:spacing w:before="64"/>
      </w:pPr>
      <w:r>
        <w:rPr>
          <w:color w:val="913592"/>
        </w:rPr>
        <w:t>Tableau 1. Ressources et dépenses.</w:t>
      </w:r>
    </w:p>
    <w:p>
      <w:pPr>
        <w:pStyle w:val="BodyText"/>
        <w:spacing w:line="292" w:lineRule="auto" w:before="98"/>
        <w:ind w:left="233" w:right="539"/>
      </w:pPr>
      <w:r>
        <w:rPr>
          <w:color w:val="58595B"/>
        </w:rPr>
        <w:t>Les indicateurs portant sur les ressources et les dépenses sont indispensables pour comprendre les niveaux passés et actuels de l’investissement public dans l’EPE, sa composition ainsi que les autres ressources éventuelles à la disposition du sous-secteur.</w:t>
      </w:r>
    </w:p>
    <w:p>
      <w:pPr>
        <w:pStyle w:val="BodyText"/>
        <w:spacing w:before="2"/>
        <w:rPr>
          <w:sz w:val="23"/>
        </w:rPr>
      </w:pPr>
    </w:p>
    <w:tbl>
      <w:tblPr>
        <w:tblW w:w="0" w:type="auto"/>
        <w:jc w:val="left"/>
        <w:tblInd w:w="26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8"/>
        <w:gridCol w:w="1745"/>
        <w:gridCol w:w="3209"/>
        <w:gridCol w:w="2165"/>
        <w:gridCol w:w="5351"/>
      </w:tblGrid>
      <w:tr>
        <w:trPr>
          <w:trHeight w:val="491" w:hRule="atLeast"/>
        </w:trPr>
        <w:tc>
          <w:tcPr>
            <w:tcW w:w="1928" w:type="dxa"/>
            <w:tcBorders>
              <w:left w:val="nil"/>
              <w:right w:val="nil"/>
            </w:tcBorders>
          </w:tcPr>
          <w:p>
            <w:pPr>
              <w:pStyle w:val="TableParagraph"/>
              <w:spacing w:before="142"/>
              <w:ind w:left="549"/>
              <w:rPr>
                <w:b/>
                <w:sz w:val="18"/>
              </w:rPr>
            </w:pPr>
            <w:r>
              <w:rPr>
                <w:b/>
                <w:color w:val="58595B"/>
                <w:sz w:val="18"/>
              </w:rPr>
              <w:t>Indicateur</w:t>
            </w:r>
          </w:p>
        </w:tc>
        <w:tc>
          <w:tcPr>
            <w:tcW w:w="1745" w:type="dxa"/>
            <w:tcBorders>
              <w:left w:val="nil"/>
              <w:right w:val="nil"/>
            </w:tcBorders>
          </w:tcPr>
          <w:p>
            <w:pPr>
              <w:pStyle w:val="TableParagraph"/>
              <w:spacing w:before="142"/>
              <w:ind w:left="462" w:right="432"/>
              <w:jc w:val="center"/>
              <w:rPr>
                <w:b/>
                <w:sz w:val="18"/>
              </w:rPr>
            </w:pPr>
            <w:r>
              <w:rPr>
                <w:b/>
                <w:color w:val="58595B"/>
                <w:sz w:val="18"/>
              </w:rPr>
              <w:t>Variantes</w:t>
            </w:r>
          </w:p>
        </w:tc>
        <w:tc>
          <w:tcPr>
            <w:tcW w:w="3209" w:type="dxa"/>
            <w:tcBorders>
              <w:left w:val="nil"/>
              <w:right w:val="nil"/>
            </w:tcBorders>
          </w:tcPr>
          <w:p>
            <w:pPr>
              <w:pStyle w:val="TableParagraph"/>
              <w:spacing w:before="142"/>
              <w:ind w:left="1178" w:right="1160"/>
              <w:jc w:val="center"/>
              <w:rPr>
                <w:b/>
                <w:sz w:val="18"/>
              </w:rPr>
            </w:pPr>
            <w:r>
              <w:rPr>
                <w:b/>
                <w:color w:val="58595B"/>
                <w:sz w:val="18"/>
              </w:rPr>
              <w:t>Définition</w:t>
            </w:r>
          </w:p>
        </w:tc>
        <w:tc>
          <w:tcPr>
            <w:tcW w:w="2165" w:type="dxa"/>
            <w:tcBorders>
              <w:left w:val="nil"/>
              <w:right w:val="nil"/>
            </w:tcBorders>
          </w:tcPr>
          <w:p>
            <w:pPr>
              <w:pStyle w:val="TableParagraph"/>
              <w:spacing w:line="232" w:lineRule="auto" w:before="47"/>
              <w:ind w:left="139" w:right="95" w:firstLine="409"/>
              <w:rPr>
                <w:b/>
                <w:sz w:val="18"/>
              </w:rPr>
            </w:pPr>
            <w:r>
              <w:rPr>
                <w:b/>
                <w:color w:val="58595B"/>
                <w:sz w:val="18"/>
              </w:rPr>
              <w:t>Source(s) de données potentielle(s)</w:t>
            </w:r>
          </w:p>
        </w:tc>
        <w:tc>
          <w:tcPr>
            <w:tcW w:w="5351" w:type="dxa"/>
            <w:tcBorders>
              <w:left w:val="nil"/>
              <w:right w:val="nil"/>
            </w:tcBorders>
          </w:tcPr>
          <w:p>
            <w:pPr>
              <w:pStyle w:val="TableParagraph"/>
              <w:spacing w:before="142"/>
              <w:ind w:left="2095" w:right="2065"/>
              <w:jc w:val="center"/>
              <w:rPr>
                <w:b/>
                <w:sz w:val="18"/>
              </w:rPr>
            </w:pPr>
            <w:r>
              <w:rPr>
                <w:b/>
                <w:color w:val="58595B"/>
                <w:sz w:val="18"/>
              </w:rPr>
              <w:t>Observations</w:t>
            </w:r>
          </w:p>
        </w:tc>
      </w:tr>
      <w:tr>
        <w:trPr>
          <w:trHeight w:val="4515" w:hRule="atLeast"/>
        </w:trPr>
        <w:tc>
          <w:tcPr>
            <w:tcW w:w="1928" w:type="dxa"/>
            <w:vMerge w:val="restart"/>
            <w:tcBorders>
              <w:left w:val="single" w:sz="12" w:space="0" w:color="FFFFFF"/>
              <w:bottom w:val="single" w:sz="12" w:space="0" w:color="FFFFFF"/>
              <w:right w:val="single" w:sz="12" w:space="0" w:color="FFFFFF"/>
            </w:tcBorders>
            <w:shd w:val="clear" w:color="auto" w:fill="FBE2DF"/>
          </w:tcPr>
          <w:p>
            <w:pPr>
              <w:pStyle w:val="TableParagraph"/>
              <w:spacing w:before="7"/>
              <w:rPr>
                <w:sz w:val="13"/>
              </w:rPr>
            </w:pPr>
          </w:p>
          <w:p>
            <w:pPr>
              <w:pStyle w:val="TableParagraph"/>
              <w:spacing w:line="210" w:lineRule="exact"/>
              <w:ind w:left="167"/>
              <w:rPr>
                <w:sz w:val="20"/>
              </w:rPr>
            </w:pPr>
            <w:r>
              <w:rPr>
                <w:position w:val="-3"/>
                <w:sz w:val="20"/>
              </w:rPr>
              <w:drawing>
                <wp:inline distT="0" distB="0" distL="0" distR="0">
                  <wp:extent cx="933550" cy="133350"/>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9" cstate="print"/>
                          <a:stretch>
                            <a:fillRect/>
                          </a:stretch>
                        </pic:blipFill>
                        <pic:spPr>
                          <a:xfrm>
                            <a:off x="0" y="0"/>
                            <a:ext cx="933550" cy="133350"/>
                          </a:xfrm>
                          <a:prstGeom prst="rect">
                            <a:avLst/>
                          </a:prstGeom>
                        </pic:spPr>
                      </pic:pic>
                    </a:graphicData>
                  </a:graphic>
                </wp:inline>
              </w:drawing>
            </w:r>
            <w:r>
              <w:rPr>
                <w:position w:val="-3"/>
                <w:sz w:val="20"/>
              </w:rPr>
            </w:r>
          </w:p>
          <w:p>
            <w:pPr>
              <w:pStyle w:val="TableParagraph"/>
              <w:spacing w:line="249" w:lineRule="auto" w:before="54"/>
              <w:ind w:left="167" w:right="443"/>
              <w:rPr>
                <w:b/>
                <w:sz w:val="20"/>
              </w:rPr>
            </w:pPr>
            <w:r>
              <w:rPr>
                <w:b/>
                <w:color w:val="58595B"/>
                <w:sz w:val="20"/>
              </w:rPr>
              <w:t>Dépenses publiques consacrées à l’EPE</w:t>
            </w:r>
          </w:p>
          <w:p>
            <w:pPr>
              <w:pStyle w:val="TableParagraph"/>
              <w:spacing w:line="249" w:lineRule="auto" w:before="3"/>
              <w:ind w:left="167" w:right="221"/>
              <w:rPr>
                <w:b/>
                <w:sz w:val="20"/>
              </w:rPr>
            </w:pPr>
            <w:r>
              <w:rPr>
                <w:b/>
                <w:color w:val="58595B"/>
                <w:sz w:val="20"/>
              </w:rPr>
              <w:t>en pourcentage des dépenses d’éducation</w:t>
            </w:r>
          </w:p>
        </w:tc>
        <w:tc>
          <w:tcPr>
            <w:tcW w:w="1745" w:type="dxa"/>
            <w:tcBorders>
              <w:left w:val="single" w:sz="12" w:space="0" w:color="FFFFFF"/>
              <w:bottom w:val="single" w:sz="12" w:space="0" w:color="FFFFFF"/>
              <w:right w:val="single" w:sz="12" w:space="0" w:color="FFFFFF"/>
            </w:tcBorders>
            <w:shd w:val="clear" w:color="auto" w:fill="FBE2DF"/>
          </w:tcPr>
          <w:p>
            <w:pPr>
              <w:pStyle w:val="TableParagraph"/>
              <w:spacing w:before="121"/>
              <w:ind w:left="136" w:right="140"/>
              <w:jc w:val="center"/>
              <w:rPr>
                <w:sz w:val="17"/>
              </w:rPr>
            </w:pPr>
            <w:r>
              <w:rPr>
                <w:color w:val="58595B"/>
                <w:sz w:val="17"/>
              </w:rPr>
              <w:t>(dépenses totales)</w:t>
            </w:r>
          </w:p>
        </w:tc>
        <w:tc>
          <w:tcPr>
            <w:tcW w:w="3209" w:type="dxa"/>
            <w:tcBorders>
              <w:left w:val="single" w:sz="12" w:space="0" w:color="FFFFFF"/>
              <w:bottom w:val="single" w:sz="12" w:space="0" w:color="FFFFFF"/>
              <w:right w:val="single" w:sz="12" w:space="0" w:color="FFFFFF"/>
            </w:tcBorders>
            <w:shd w:val="clear" w:color="auto" w:fill="FBE2DF"/>
          </w:tcPr>
          <w:p>
            <w:pPr>
              <w:pStyle w:val="TableParagraph"/>
              <w:spacing w:line="271" w:lineRule="auto" w:before="121"/>
              <w:ind w:left="1326" w:right="235" w:hanging="860"/>
              <w:rPr>
                <w:sz w:val="17"/>
              </w:rPr>
            </w:pPr>
            <w:r>
              <w:rPr>
                <w:color w:val="58595B"/>
                <w:sz w:val="17"/>
              </w:rPr>
              <w:t>Dépenses publiques consacrées à l’EPE</w:t>
            </w:r>
          </w:p>
          <w:p>
            <w:pPr>
              <w:pStyle w:val="TableParagraph"/>
              <w:spacing w:before="2"/>
              <w:rPr>
                <w:sz w:val="13"/>
              </w:rPr>
            </w:pPr>
          </w:p>
          <w:p>
            <w:pPr>
              <w:pStyle w:val="TableParagraph"/>
              <w:spacing w:line="20" w:lineRule="exact"/>
              <w:ind w:left="144"/>
              <w:rPr>
                <w:sz w:val="2"/>
              </w:rPr>
            </w:pPr>
            <w:r>
              <w:rPr>
                <w:sz w:val="2"/>
              </w:rPr>
              <w:pict>
                <v:group style="width:145.15pt;height:.25pt;mso-position-horizontal-relative:char;mso-position-vertical-relative:line" coordorigin="0,0" coordsize="2903,5">
                  <v:line style="position:absolute" from="0,3" to="2903,3" stroked="true" strokeweight=".25pt" strokecolor="#58595b">
                    <v:stroke dashstyle="solid"/>
                  </v:line>
                </v:group>
              </w:pict>
            </w:r>
            <w:r>
              <w:rPr>
                <w:sz w:val="2"/>
              </w:rPr>
            </w:r>
          </w:p>
          <w:p>
            <w:pPr>
              <w:pStyle w:val="TableParagraph"/>
              <w:spacing w:before="46"/>
              <w:ind w:left="912"/>
              <w:rPr>
                <w:sz w:val="17"/>
              </w:rPr>
            </w:pPr>
            <w:r>
              <w:rPr>
                <w:color w:val="58595B"/>
                <w:sz w:val="17"/>
              </w:rPr>
              <w:t>Dépenses d’éducation</w:t>
            </w:r>
          </w:p>
        </w:tc>
        <w:tc>
          <w:tcPr>
            <w:tcW w:w="2165" w:type="dxa"/>
            <w:vMerge w:val="restart"/>
            <w:tcBorders>
              <w:left w:val="single" w:sz="12" w:space="0" w:color="FFFFFF"/>
              <w:bottom w:val="single" w:sz="12" w:space="0" w:color="FFFFFF"/>
              <w:right w:val="single" w:sz="12" w:space="0" w:color="FFFFFF"/>
            </w:tcBorders>
            <w:shd w:val="clear" w:color="auto" w:fill="FBE2DF"/>
          </w:tcPr>
          <w:p>
            <w:pPr>
              <w:pStyle w:val="TableParagraph"/>
              <w:spacing w:line="271" w:lineRule="auto" w:before="121"/>
              <w:ind w:left="161" w:right="168"/>
              <w:rPr>
                <w:sz w:val="17"/>
              </w:rPr>
            </w:pPr>
            <w:r>
              <w:rPr>
                <w:color w:val="58595B"/>
                <w:sz w:val="17"/>
              </w:rPr>
              <w:t>Direction financière du ministère de l’éducation</w:t>
            </w:r>
          </w:p>
          <w:p>
            <w:pPr>
              <w:pStyle w:val="TableParagraph"/>
              <w:spacing w:before="111"/>
              <w:ind w:left="161"/>
              <w:rPr>
                <w:i/>
                <w:sz w:val="17"/>
              </w:rPr>
            </w:pPr>
            <w:r>
              <w:rPr>
                <w:i/>
                <w:color w:val="58595B"/>
                <w:sz w:val="17"/>
              </w:rPr>
              <w:t>et/ou</w:t>
            </w:r>
          </w:p>
          <w:p>
            <w:pPr>
              <w:pStyle w:val="TableParagraph"/>
              <w:spacing w:line="271" w:lineRule="auto" w:before="138"/>
              <w:ind w:left="161" w:right="215"/>
              <w:rPr>
                <w:sz w:val="17"/>
              </w:rPr>
            </w:pPr>
            <w:r>
              <w:rPr>
                <w:color w:val="58595B"/>
                <w:sz w:val="17"/>
              </w:rPr>
              <w:t>Ministère des finances/ du budget</w:t>
            </w:r>
          </w:p>
        </w:tc>
        <w:tc>
          <w:tcPr>
            <w:tcW w:w="5351" w:type="dxa"/>
            <w:tcBorders>
              <w:left w:val="single" w:sz="12" w:space="0" w:color="FFFFFF"/>
              <w:bottom w:val="single" w:sz="12" w:space="0" w:color="FFFFFF"/>
              <w:right w:val="single" w:sz="12" w:space="0" w:color="FFFFFF"/>
            </w:tcBorders>
            <w:shd w:val="clear" w:color="auto" w:fill="FBE2DF"/>
          </w:tcPr>
          <w:p>
            <w:pPr>
              <w:pStyle w:val="TableParagraph"/>
              <w:spacing w:line="266" w:lineRule="auto" w:before="121"/>
              <w:ind w:left="173" w:right="252"/>
              <w:rPr>
                <w:sz w:val="17"/>
              </w:rPr>
            </w:pPr>
            <w:r>
              <w:rPr>
                <w:color w:val="58595B"/>
                <w:sz w:val="17"/>
              </w:rPr>
              <w:t>La </w:t>
            </w:r>
            <w:r>
              <w:rPr>
                <w:color w:val="58595B"/>
                <w:spacing w:val="-3"/>
                <w:sz w:val="17"/>
              </w:rPr>
              <w:t>part </w:t>
            </w:r>
            <w:r>
              <w:rPr>
                <w:color w:val="58595B"/>
                <w:sz w:val="17"/>
              </w:rPr>
              <w:t>de </w:t>
            </w:r>
            <w:r>
              <w:rPr>
                <w:color w:val="58595B"/>
                <w:spacing w:val="-3"/>
                <w:sz w:val="17"/>
              </w:rPr>
              <w:t>l’EPE dans </w:t>
            </w:r>
            <w:r>
              <w:rPr>
                <w:color w:val="58595B"/>
                <w:sz w:val="17"/>
              </w:rPr>
              <w:t>les </w:t>
            </w:r>
            <w:r>
              <w:rPr>
                <w:color w:val="58595B"/>
                <w:spacing w:val="-3"/>
                <w:sz w:val="17"/>
              </w:rPr>
              <w:t>dépenses d’éducation peut varier d’une année </w:t>
            </w:r>
            <w:r>
              <w:rPr>
                <w:color w:val="58595B"/>
                <w:sz w:val="17"/>
              </w:rPr>
              <w:t>à </w:t>
            </w:r>
            <w:r>
              <w:rPr>
                <w:color w:val="58595B"/>
                <w:spacing w:val="-3"/>
                <w:sz w:val="17"/>
              </w:rPr>
              <w:t>l’autre lorsque d’importants programmes d’investissement sont </w:t>
            </w:r>
            <w:r>
              <w:rPr>
                <w:color w:val="58595B"/>
                <w:sz w:val="17"/>
              </w:rPr>
              <w:t>mis en </w:t>
            </w:r>
            <w:r>
              <w:rPr>
                <w:color w:val="58595B"/>
                <w:spacing w:val="-3"/>
                <w:sz w:val="17"/>
              </w:rPr>
              <w:t>œuvre. </w:t>
            </w:r>
            <w:r>
              <w:rPr>
                <w:color w:val="58595B"/>
                <w:spacing w:val="-5"/>
                <w:position w:val="-3"/>
                <w:sz w:val="17"/>
              </w:rPr>
              <w:drawing>
                <wp:inline distT="0" distB="0" distL="0" distR="0">
                  <wp:extent cx="527977" cy="139026"/>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10" cstate="print"/>
                          <a:stretch>
                            <a:fillRect/>
                          </a:stretch>
                        </pic:blipFill>
                        <pic:spPr>
                          <a:xfrm>
                            <a:off x="0" y="0"/>
                            <a:ext cx="527977" cy="139026"/>
                          </a:xfrm>
                          <a:prstGeom prst="rect">
                            <a:avLst/>
                          </a:prstGeom>
                        </pic:spPr>
                      </pic:pic>
                    </a:graphicData>
                  </a:graphic>
                </wp:inline>
              </w:drawing>
            </w:r>
            <w:r>
              <w:rPr>
                <w:color w:val="58595B"/>
                <w:spacing w:val="-5"/>
                <w:position w:val="-3"/>
                <w:sz w:val="17"/>
              </w:rPr>
            </w:r>
            <w:r>
              <w:rPr>
                <w:rFonts w:ascii="Times New Roman" w:hAnsi="Times New Roman"/>
                <w:color w:val="58595B"/>
                <w:spacing w:val="5"/>
                <w:sz w:val="17"/>
              </w:rPr>
              <w:t> </w:t>
            </w:r>
            <w:r>
              <w:rPr>
                <w:color w:val="58595B"/>
                <w:spacing w:val="-3"/>
                <w:sz w:val="17"/>
              </w:rPr>
              <w:t>C’est généralement </w:t>
            </w:r>
            <w:r>
              <w:rPr>
                <w:color w:val="58595B"/>
                <w:sz w:val="17"/>
              </w:rPr>
              <w:t>le cas </w:t>
            </w:r>
            <w:r>
              <w:rPr>
                <w:color w:val="58595B"/>
                <w:spacing w:val="-3"/>
                <w:sz w:val="17"/>
              </w:rPr>
              <w:t>des investissements d’infrastructure, mais cela peut également se produire lorsqu’un gouvernement décide </w:t>
            </w:r>
            <w:r>
              <w:rPr>
                <w:color w:val="58595B"/>
                <w:sz w:val="17"/>
              </w:rPr>
              <w:t>de </w:t>
            </w:r>
            <w:r>
              <w:rPr>
                <w:color w:val="58595B"/>
                <w:spacing w:val="-3"/>
                <w:sz w:val="17"/>
              </w:rPr>
              <w:t>déployer </w:t>
            </w:r>
            <w:r>
              <w:rPr>
                <w:color w:val="58595B"/>
                <w:sz w:val="17"/>
              </w:rPr>
              <w:t>à </w:t>
            </w:r>
            <w:r>
              <w:rPr>
                <w:color w:val="58595B"/>
                <w:spacing w:val="-3"/>
                <w:sz w:val="17"/>
              </w:rPr>
              <w:t>grande échelle </w:t>
            </w:r>
            <w:r>
              <w:rPr>
                <w:color w:val="58595B"/>
                <w:sz w:val="17"/>
              </w:rPr>
              <w:t>un </w:t>
            </w:r>
            <w:r>
              <w:rPr>
                <w:color w:val="58595B"/>
                <w:spacing w:val="-3"/>
                <w:sz w:val="17"/>
              </w:rPr>
              <w:t>modèle </w:t>
            </w:r>
            <w:r>
              <w:rPr>
                <w:color w:val="58595B"/>
                <w:sz w:val="17"/>
              </w:rPr>
              <w:t>de </w:t>
            </w:r>
            <w:r>
              <w:rPr>
                <w:color w:val="58595B"/>
                <w:spacing w:val="-3"/>
                <w:sz w:val="17"/>
              </w:rPr>
              <w:t>prestation </w:t>
            </w:r>
            <w:r>
              <w:rPr>
                <w:color w:val="58595B"/>
                <w:sz w:val="17"/>
              </w:rPr>
              <w:t>de </w:t>
            </w:r>
            <w:r>
              <w:rPr>
                <w:color w:val="58595B"/>
                <w:spacing w:val="-3"/>
                <w:sz w:val="17"/>
              </w:rPr>
              <w:t>services </w:t>
            </w:r>
            <w:r>
              <w:rPr>
                <w:color w:val="58595B"/>
                <w:sz w:val="17"/>
              </w:rPr>
              <w:t>qui </w:t>
            </w:r>
            <w:r>
              <w:rPr>
                <w:color w:val="58595B"/>
                <w:spacing w:val="-3"/>
                <w:sz w:val="17"/>
              </w:rPr>
              <w:t>peut nécessiter </w:t>
            </w:r>
            <w:r>
              <w:rPr>
                <w:color w:val="58595B"/>
                <w:sz w:val="17"/>
              </w:rPr>
              <w:t>des </w:t>
            </w:r>
            <w:r>
              <w:rPr>
                <w:color w:val="58595B"/>
                <w:spacing w:val="-3"/>
                <w:sz w:val="17"/>
              </w:rPr>
              <w:t>investissements importants dans </w:t>
            </w:r>
            <w:r>
              <w:rPr>
                <w:color w:val="58595B"/>
                <w:sz w:val="17"/>
              </w:rPr>
              <w:t>la formation </w:t>
            </w:r>
            <w:r>
              <w:rPr>
                <w:color w:val="58595B"/>
                <w:spacing w:val="-3"/>
                <w:sz w:val="17"/>
              </w:rPr>
              <w:t>initiale des enseignants </w:t>
            </w:r>
            <w:r>
              <w:rPr>
                <w:color w:val="58595B"/>
                <w:sz w:val="17"/>
              </w:rPr>
              <w:t>ou des </w:t>
            </w:r>
            <w:r>
              <w:rPr>
                <w:color w:val="58595B"/>
                <w:spacing w:val="-3"/>
                <w:sz w:val="17"/>
              </w:rPr>
              <w:t>auxiliaires scolaires (par exemple, programme </w:t>
            </w:r>
            <w:r>
              <w:rPr>
                <w:color w:val="58595B"/>
                <w:sz w:val="17"/>
              </w:rPr>
              <w:t>de</w:t>
            </w:r>
            <w:r>
              <w:rPr>
                <w:color w:val="58595B"/>
                <w:spacing w:val="-6"/>
                <w:sz w:val="17"/>
              </w:rPr>
              <w:t> </w:t>
            </w:r>
            <w:r>
              <w:rPr>
                <w:color w:val="58595B"/>
                <w:spacing w:val="-3"/>
                <w:sz w:val="17"/>
              </w:rPr>
              <w:t>préparation</w:t>
            </w:r>
            <w:r>
              <w:rPr>
                <w:color w:val="58595B"/>
                <w:spacing w:val="-6"/>
                <w:sz w:val="17"/>
              </w:rPr>
              <w:t> </w:t>
            </w:r>
            <w:r>
              <w:rPr>
                <w:color w:val="58595B"/>
                <w:sz w:val="17"/>
              </w:rPr>
              <w:t>à</w:t>
            </w:r>
            <w:r>
              <w:rPr>
                <w:color w:val="58595B"/>
                <w:spacing w:val="-6"/>
                <w:sz w:val="17"/>
              </w:rPr>
              <w:t> </w:t>
            </w:r>
            <w:r>
              <w:rPr>
                <w:color w:val="58595B"/>
                <w:sz w:val="17"/>
              </w:rPr>
              <w:t>la</w:t>
            </w:r>
            <w:r>
              <w:rPr>
                <w:color w:val="58595B"/>
                <w:spacing w:val="-6"/>
                <w:sz w:val="17"/>
              </w:rPr>
              <w:t> </w:t>
            </w:r>
            <w:r>
              <w:rPr>
                <w:color w:val="58595B"/>
                <w:spacing w:val="-3"/>
                <w:sz w:val="17"/>
              </w:rPr>
              <w:t>scolarité</w:t>
            </w:r>
            <w:r>
              <w:rPr>
                <w:color w:val="58595B"/>
                <w:spacing w:val="-6"/>
                <w:sz w:val="17"/>
              </w:rPr>
              <w:t> </w:t>
            </w:r>
            <w:r>
              <w:rPr>
                <w:color w:val="58595B"/>
                <w:sz w:val="17"/>
              </w:rPr>
              <w:t>sur</w:t>
            </w:r>
            <w:r>
              <w:rPr>
                <w:color w:val="58595B"/>
                <w:spacing w:val="-6"/>
                <w:sz w:val="17"/>
              </w:rPr>
              <w:t> </w:t>
            </w:r>
            <w:r>
              <w:rPr>
                <w:color w:val="58595B"/>
                <w:sz w:val="17"/>
              </w:rPr>
              <w:t>un</w:t>
            </w:r>
            <w:r>
              <w:rPr>
                <w:color w:val="58595B"/>
                <w:spacing w:val="-6"/>
                <w:sz w:val="17"/>
              </w:rPr>
              <w:t> </w:t>
            </w:r>
            <w:r>
              <w:rPr>
                <w:color w:val="58595B"/>
                <w:spacing w:val="-3"/>
                <w:sz w:val="17"/>
              </w:rPr>
              <w:t>an),</w:t>
            </w:r>
            <w:r>
              <w:rPr>
                <w:color w:val="58595B"/>
                <w:spacing w:val="-6"/>
                <w:sz w:val="17"/>
              </w:rPr>
              <w:t> </w:t>
            </w:r>
            <w:r>
              <w:rPr>
                <w:color w:val="58595B"/>
                <w:spacing w:val="-3"/>
                <w:sz w:val="17"/>
              </w:rPr>
              <w:t>mais</w:t>
            </w:r>
            <w:r>
              <w:rPr>
                <w:color w:val="58595B"/>
                <w:spacing w:val="-6"/>
                <w:sz w:val="17"/>
              </w:rPr>
              <w:t> </w:t>
            </w:r>
            <w:r>
              <w:rPr>
                <w:color w:val="58595B"/>
                <w:sz w:val="17"/>
              </w:rPr>
              <w:t>qui</w:t>
            </w:r>
            <w:r>
              <w:rPr>
                <w:color w:val="58595B"/>
                <w:spacing w:val="-6"/>
                <w:sz w:val="17"/>
              </w:rPr>
              <w:t> </w:t>
            </w:r>
            <w:r>
              <w:rPr>
                <w:color w:val="58595B"/>
                <w:spacing w:val="-3"/>
                <w:sz w:val="17"/>
              </w:rPr>
              <w:t>exigera</w:t>
            </w:r>
            <w:r>
              <w:rPr>
                <w:color w:val="58595B"/>
                <w:spacing w:val="-5"/>
                <w:sz w:val="17"/>
              </w:rPr>
              <w:t> </w:t>
            </w:r>
            <w:r>
              <w:rPr>
                <w:color w:val="58595B"/>
                <w:sz w:val="17"/>
              </w:rPr>
              <w:t>des</w:t>
            </w:r>
            <w:r>
              <w:rPr>
                <w:color w:val="58595B"/>
                <w:spacing w:val="-6"/>
                <w:sz w:val="17"/>
              </w:rPr>
              <w:t> </w:t>
            </w:r>
            <w:r>
              <w:rPr>
                <w:color w:val="58595B"/>
                <w:spacing w:val="-3"/>
                <w:sz w:val="17"/>
              </w:rPr>
              <w:t>coûts </w:t>
            </w:r>
            <w:r>
              <w:rPr>
                <w:color w:val="58595B"/>
                <w:sz w:val="17"/>
              </w:rPr>
              <w:t>de formation </w:t>
            </w:r>
            <w:r>
              <w:rPr>
                <w:color w:val="58595B"/>
                <w:spacing w:val="-3"/>
                <w:sz w:val="17"/>
              </w:rPr>
              <w:t>continue </w:t>
            </w:r>
            <w:r>
              <w:rPr>
                <w:color w:val="58595B"/>
                <w:sz w:val="17"/>
              </w:rPr>
              <w:t>peu </w:t>
            </w:r>
            <w:r>
              <w:rPr>
                <w:color w:val="58595B"/>
                <w:spacing w:val="-3"/>
                <w:sz w:val="17"/>
              </w:rPr>
              <w:t>élevés </w:t>
            </w:r>
            <w:r>
              <w:rPr>
                <w:color w:val="58595B"/>
                <w:sz w:val="17"/>
              </w:rPr>
              <w:t>à</w:t>
            </w:r>
            <w:r>
              <w:rPr>
                <w:color w:val="58595B"/>
                <w:spacing w:val="-26"/>
                <w:sz w:val="17"/>
              </w:rPr>
              <w:t> </w:t>
            </w:r>
            <w:r>
              <w:rPr>
                <w:color w:val="58595B"/>
                <w:spacing w:val="-3"/>
                <w:sz w:val="17"/>
              </w:rPr>
              <w:t>terme.</w:t>
            </w:r>
          </w:p>
          <w:p>
            <w:pPr>
              <w:pStyle w:val="TableParagraph"/>
              <w:spacing w:line="266" w:lineRule="auto" w:before="154"/>
              <w:ind w:left="173" w:right="130"/>
              <w:rPr>
                <w:sz w:val="17"/>
              </w:rPr>
            </w:pPr>
            <w:r>
              <w:rPr>
                <w:position w:val="-3"/>
              </w:rPr>
              <w:drawing>
                <wp:inline distT="0" distB="0" distL="0" distR="0">
                  <wp:extent cx="647941" cy="139026"/>
                  <wp:effectExtent l="0" t="0" r="0" b="0"/>
                  <wp:docPr id="11" name="image6.png" descr=""/>
                  <wp:cNvGraphicFramePr>
                    <a:graphicFrameLocks noChangeAspect="1"/>
                  </wp:cNvGraphicFramePr>
                  <a:graphic>
                    <a:graphicData uri="http://schemas.openxmlformats.org/drawingml/2006/picture">
                      <pic:pic>
                        <pic:nvPicPr>
                          <pic:cNvPr id="12" name="image6.png"/>
                          <pic:cNvPicPr/>
                        </pic:nvPicPr>
                        <pic:blipFill>
                          <a:blip r:embed="rId11" cstate="print"/>
                          <a:stretch>
                            <a:fillRect/>
                          </a:stretch>
                        </pic:blipFill>
                        <pic:spPr>
                          <a:xfrm>
                            <a:off x="0" y="0"/>
                            <a:ext cx="647941" cy="139026"/>
                          </a:xfrm>
                          <a:prstGeom prst="rect">
                            <a:avLst/>
                          </a:prstGeom>
                        </pic:spPr>
                      </pic:pic>
                    </a:graphicData>
                  </a:graphic>
                </wp:inline>
              </w:drawing>
            </w:r>
            <w:r>
              <w:rPr>
                <w:position w:val="-3"/>
              </w:rPr>
            </w:r>
            <w:r>
              <w:rPr>
                <w:rFonts w:ascii="Times New Roman" w:hAnsi="Times New Roman"/>
                <w:spacing w:val="-7"/>
                <w:sz w:val="20"/>
              </w:rPr>
              <w:t> </w:t>
            </w:r>
            <w:r>
              <w:rPr>
                <w:color w:val="58595B"/>
                <w:spacing w:val="-3"/>
                <w:sz w:val="17"/>
              </w:rPr>
              <w:t>Dans </w:t>
            </w:r>
            <w:r>
              <w:rPr>
                <w:color w:val="58595B"/>
                <w:sz w:val="17"/>
              </w:rPr>
              <w:t>la </w:t>
            </w:r>
            <w:r>
              <w:rPr>
                <w:color w:val="58595B"/>
                <w:spacing w:val="-3"/>
                <w:sz w:val="17"/>
              </w:rPr>
              <w:t>mesure </w:t>
            </w:r>
            <w:r>
              <w:rPr>
                <w:color w:val="58595B"/>
                <w:sz w:val="17"/>
              </w:rPr>
              <w:t>du </w:t>
            </w:r>
            <w:r>
              <w:rPr>
                <w:color w:val="58595B"/>
                <w:spacing w:val="-3"/>
                <w:sz w:val="17"/>
              </w:rPr>
              <w:t>possible, </w:t>
            </w:r>
            <w:r>
              <w:rPr>
                <w:color w:val="58595B"/>
                <w:sz w:val="17"/>
              </w:rPr>
              <w:t>il est </w:t>
            </w:r>
            <w:r>
              <w:rPr>
                <w:color w:val="58595B"/>
                <w:spacing w:val="-3"/>
                <w:sz w:val="17"/>
              </w:rPr>
              <w:t>important de calculer </w:t>
            </w:r>
            <w:r>
              <w:rPr>
                <w:color w:val="58595B"/>
                <w:sz w:val="17"/>
              </w:rPr>
              <w:t>le </w:t>
            </w:r>
            <w:r>
              <w:rPr>
                <w:color w:val="58595B"/>
                <w:spacing w:val="-3"/>
                <w:sz w:val="17"/>
              </w:rPr>
              <w:t>ratio </w:t>
            </w:r>
            <w:r>
              <w:rPr>
                <w:color w:val="58595B"/>
                <w:sz w:val="17"/>
              </w:rPr>
              <w:t>des </w:t>
            </w:r>
            <w:r>
              <w:rPr>
                <w:color w:val="58595B"/>
                <w:spacing w:val="-3"/>
                <w:sz w:val="17"/>
              </w:rPr>
              <w:t>dépenses réelles plutôt </w:t>
            </w:r>
            <w:r>
              <w:rPr>
                <w:color w:val="58595B"/>
                <w:sz w:val="17"/>
              </w:rPr>
              <w:t>que les </w:t>
            </w:r>
            <w:r>
              <w:rPr>
                <w:color w:val="58595B"/>
                <w:spacing w:val="-3"/>
                <w:sz w:val="17"/>
              </w:rPr>
              <w:t>budgets, </w:t>
            </w:r>
            <w:r>
              <w:rPr>
                <w:color w:val="58595B"/>
                <w:sz w:val="17"/>
              </w:rPr>
              <w:t>car </w:t>
            </w:r>
            <w:r>
              <w:rPr>
                <w:color w:val="58595B"/>
                <w:spacing w:val="-3"/>
                <w:sz w:val="17"/>
              </w:rPr>
              <w:t>ces derniers </w:t>
            </w:r>
            <w:r>
              <w:rPr>
                <w:color w:val="58595B"/>
                <w:sz w:val="17"/>
              </w:rPr>
              <w:t>ne </w:t>
            </w:r>
            <w:r>
              <w:rPr>
                <w:color w:val="58595B"/>
                <w:spacing w:val="-3"/>
                <w:sz w:val="17"/>
              </w:rPr>
              <w:t>sont </w:t>
            </w:r>
            <w:r>
              <w:rPr>
                <w:color w:val="58595B"/>
                <w:sz w:val="17"/>
              </w:rPr>
              <w:t>pas toujours </w:t>
            </w:r>
            <w:r>
              <w:rPr>
                <w:color w:val="58595B"/>
                <w:spacing w:val="-3"/>
                <w:sz w:val="17"/>
              </w:rPr>
              <w:t>exécutés comme prévu. </w:t>
            </w:r>
            <w:r>
              <w:rPr>
                <w:color w:val="58595B"/>
                <w:sz w:val="17"/>
              </w:rPr>
              <w:t>Il</w:t>
            </w:r>
            <w:r>
              <w:rPr>
                <w:color w:val="58595B"/>
                <w:spacing w:val="-34"/>
                <w:sz w:val="17"/>
              </w:rPr>
              <w:t> </w:t>
            </w:r>
            <w:r>
              <w:rPr>
                <w:color w:val="58595B"/>
                <w:spacing w:val="-3"/>
                <w:sz w:val="17"/>
              </w:rPr>
              <w:t>convient</w:t>
            </w:r>
          </w:p>
          <w:p>
            <w:pPr>
              <w:pStyle w:val="TableParagraph"/>
              <w:spacing w:line="271" w:lineRule="auto" w:before="3"/>
              <w:ind w:left="173" w:right="252"/>
              <w:rPr>
                <w:sz w:val="17"/>
              </w:rPr>
            </w:pPr>
            <w:r>
              <w:rPr>
                <w:color w:val="58595B"/>
                <w:sz w:val="17"/>
              </w:rPr>
              <w:t>de </w:t>
            </w:r>
            <w:r>
              <w:rPr>
                <w:color w:val="58595B"/>
                <w:spacing w:val="-3"/>
                <w:sz w:val="17"/>
              </w:rPr>
              <w:t>noter </w:t>
            </w:r>
            <w:r>
              <w:rPr>
                <w:color w:val="58595B"/>
                <w:sz w:val="17"/>
              </w:rPr>
              <w:t>que les </w:t>
            </w:r>
            <w:r>
              <w:rPr>
                <w:color w:val="58595B"/>
                <w:spacing w:val="-3"/>
                <w:sz w:val="17"/>
              </w:rPr>
              <w:t>dépenses réelles peuvent être plus longues et difficiles </w:t>
            </w:r>
            <w:r>
              <w:rPr>
                <w:color w:val="58595B"/>
                <w:sz w:val="17"/>
              </w:rPr>
              <w:t>à </w:t>
            </w:r>
            <w:r>
              <w:rPr>
                <w:color w:val="58595B"/>
                <w:spacing w:val="-4"/>
                <w:sz w:val="17"/>
              </w:rPr>
              <w:t>obtenir. </w:t>
            </w:r>
            <w:r>
              <w:rPr>
                <w:color w:val="58595B"/>
                <w:sz w:val="17"/>
              </w:rPr>
              <w:t>Le taux </w:t>
            </w:r>
            <w:r>
              <w:rPr>
                <w:color w:val="58595B"/>
                <w:spacing w:val="-3"/>
                <w:sz w:val="17"/>
              </w:rPr>
              <w:t>d’exécution budgétaire </w:t>
            </w:r>
            <w:r>
              <w:rPr>
                <w:color w:val="58595B"/>
                <w:sz w:val="17"/>
              </w:rPr>
              <w:t>est </w:t>
            </w:r>
            <w:r>
              <w:rPr>
                <w:color w:val="58595B"/>
                <w:spacing w:val="-3"/>
                <w:sz w:val="17"/>
              </w:rPr>
              <w:t>présenté en </w:t>
            </w:r>
            <w:r>
              <w:rPr>
                <w:color w:val="58595B"/>
                <w:sz w:val="17"/>
              </w:rPr>
              <w:t>tant </w:t>
            </w:r>
            <w:r>
              <w:rPr>
                <w:color w:val="58595B"/>
                <w:spacing w:val="-3"/>
                <w:sz w:val="17"/>
              </w:rPr>
              <w:t>qu’indicateur complémentaire ci-dessous.</w:t>
            </w:r>
          </w:p>
          <w:p>
            <w:pPr>
              <w:pStyle w:val="TableParagraph"/>
              <w:spacing w:before="6"/>
              <w:rPr>
                <w:sz w:val="14"/>
              </w:rPr>
            </w:pPr>
          </w:p>
          <w:p>
            <w:pPr>
              <w:pStyle w:val="TableParagraph"/>
              <w:spacing w:line="271" w:lineRule="auto"/>
              <w:ind w:left="173" w:right="206"/>
              <w:rPr>
                <w:sz w:val="17"/>
              </w:rPr>
            </w:pPr>
            <w:r>
              <w:rPr>
                <w:color w:val="58595B"/>
                <w:sz w:val="17"/>
              </w:rPr>
              <w:t>Cet </w:t>
            </w:r>
            <w:r>
              <w:rPr>
                <w:color w:val="58595B"/>
                <w:spacing w:val="-3"/>
                <w:sz w:val="17"/>
              </w:rPr>
              <w:t>indicateur donne </w:t>
            </w:r>
            <w:r>
              <w:rPr>
                <w:color w:val="58595B"/>
                <w:sz w:val="17"/>
              </w:rPr>
              <w:t>de la </w:t>
            </w:r>
            <w:r>
              <w:rPr>
                <w:color w:val="58595B"/>
                <w:spacing w:val="-3"/>
                <w:sz w:val="17"/>
              </w:rPr>
              <w:t>visibilité </w:t>
            </w:r>
            <w:r>
              <w:rPr>
                <w:color w:val="58595B"/>
                <w:sz w:val="17"/>
              </w:rPr>
              <w:t>aux </w:t>
            </w:r>
            <w:r>
              <w:rPr>
                <w:color w:val="58595B"/>
                <w:spacing w:val="-3"/>
                <w:sz w:val="17"/>
              </w:rPr>
              <w:t>efforts </w:t>
            </w:r>
            <w:r>
              <w:rPr>
                <w:color w:val="58595B"/>
                <w:sz w:val="17"/>
              </w:rPr>
              <w:t>du </w:t>
            </w:r>
            <w:r>
              <w:rPr>
                <w:color w:val="58595B"/>
                <w:spacing w:val="-3"/>
                <w:sz w:val="17"/>
              </w:rPr>
              <w:t>gouvernement en </w:t>
            </w:r>
            <w:r>
              <w:rPr>
                <w:color w:val="58595B"/>
                <w:sz w:val="17"/>
              </w:rPr>
              <w:t>faveur de </w:t>
            </w:r>
            <w:r>
              <w:rPr>
                <w:color w:val="58595B"/>
                <w:spacing w:val="-3"/>
                <w:sz w:val="17"/>
              </w:rPr>
              <w:t>l’EPE </w:t>
            </w:r>
            <w:r>
              <w:rPr>
                <w:color w:val="58595B"/>
                <w:sz w:val="17"/>
              </w:rPr>
              <w:t>et </w:t>
            </w:r>
            <w:r>
              <w:rPr>
                <w:color w:val="58595B"/>
                <w:spacing w:val="-3"/>
                <w:sz w:val="17"/>
              </w:rPr>
              <w:t>permet </w:t>
            </w:r>
            <w:r>
              <w:rPr>
                <w:color w:val="58595B"/>
                <w:sz w:val="17"/>
              </w:rPr>
              <w:t>des </w:t>
            </w:r>
            <w:r>
              <w:rPr>
                <w:color w:val="58595B"/>
                <w:spacing w:val="-3"/>
                <w:sz w:val="17"/>
              </w:rPr>
              <w:t>comparaisons internationales.</w:t>
            </w:r>
          </w:p>
        </w:tc>
      </w:tr>
      <w:tr>
        <w:trPr>
          <w:trHeight w:val="1313" w:hRule="atLeast"/>
        </w:trPr>
        <w:tc>
          <w:tcPr>
            <w:tcW w:w="1928" w:type="dxa"/>
            <w:vMerge/>
            <w:tcBorders>
              <w:top w:val="nil"/>
              <w:left w:val="single" w:sz="12" w:space="0" w:color="FFFFFF"/>
              <w:bottom w:val="single" w:sz="12" w:space="0" w:color="FFFFFF"/>
              <w:right w:val="single" w:sz="12" w:space="0" w:color="FFFFFF"/>
            </w:tcBorders>
            <w:shd w:val="clear" w:color="auto" w:fill="FBE2DF"/>
          </w:tcPr>
          <w:p>
            <w:pPr>
              <w:rPr>
                <w:sz w:val="2"/>
                <w:szCs w:val="2"/>
              </w:rPr>
            </w:pPr>
          </w:p>
        </w:tc>
        <w:tc>
          <w:tcPr>
            <w:tcW w:w="1745"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before="119"/>
              <w:ind w:left="173"/>
              <w:rPr>
                <w:sz w:val="17"/>
              </w:rPr>
            </w:pPr>
            <w:r>
              <w:rPr>
                <w:color w:val="58595B"/>
                <w:spacing w:val="-3"/>
                <w:sz w:val="17"/>
              </w:rPr>
              <w:t>Dépenses</w:t>
            </w:r>
          </w:p>
          <w:p>
            <w:pPr>
              <w:pStyle w:val="TableParagraph"/>
              <w:spacing w:before="25"/>
              <w:ind w:left="173"/>
              <w:rPr>
                <w:sz w:val="10"/>
              </w:rPr>
            </w:pPr>
            <w:r>
              <w:rPr>
                <w:color w:val="58595B"/>
                <w:spacing w:val="-3"/>
                <w:sz w:val="17"/>
              </w:rPr>
              <w:t>courantes</w:t>
            </w:r>
            <w:r>
              <w:rPr>
                <w:color w:val="58595B"/>
                <w:spacing w:val="-3"/>
                <w:position w:val="6"/>
                <w:sz w:val="10"/>
              </w:rPr>
              <w:t>1</w:t>
            </w:r>
          </w:p>
        </w:tc>
        <w:tc>
          <w:tcPr>
            <w:tcW w:w="3209"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before="5"/>
              <w:rPr>
                <w:sz w:val="17"/>
              </w:rPr>
            </w:pPr>
          </w:p>
          <w:p>
            <w:pPr>
              <w:pStyle w:val="TableParagraph"/>
              <w:spacing w:line="271" w:lineRule="auto" w:after="56"/>
              <w:ind w:left="879" w:right="298" w:hanging="353"/>
              <w:rPr>
                <w:sz w:val="17"/>
              </w:rPr>
            </w:pPr>
            <w:r>
              <w:rPr>
                <w:color w:val="58595B"/>
                <w:sz w:val="17"/>
              </w:rPr>
              <w:t>Dépenses publiques courantes consacrées à l’EPE</w:t>
            </w:r>
          </w:p>
          <w:p>
            <w:pPr>
              <w:pStyle w:val="TableParagraph"/>
              <w:spacing w:line="20" w:lineRule="exact"/>
              <w:ind w:left="155"/>
              <w:rPr>
                <w:sz w:val="2"/>
              </w:rPr>
            </w:pPr>
            <w:r>
              <w:rPr>
                <w:sz w:val="2"/>
              </w:rPr>
              <w:pict>
                <v:group style="width:145pt;height:.25pt;mso-position-horizontal-relative:char;mso-position-vertical-relative:line" coordorigin="0,0" coordsize="2900,5">
                  <v:line style="position:absolute" from="0,3" to="2900,3" stroked="true" strokeweight=".25pt" strokecolor="#58595b">
                    <v:stroke dashstyle="solid"/>
                  </v:line>
                </v:group>
              </w:pict>
            </w:r>
            <w:r>
              <w:rPr>
                <w:sz w:val="2"/>
              </w:rPr>
            </w:r>
          </w:p>
          <w:p>
            <w:pPr>
              <w:pStyle w:val="TableParagraph"/>
              <w:spacing w:line="271" w:lineRule="auto"/>
              <w:ind w:left="1133" w:right="295" w:hanging="745"/>
              <w:rPr>
                <w:sz w:val="17"/>
              </w:rPr>
            </w:pPr>
            <w:r>
              <w:rPr>
                <w:color w:val="58595B"/>
                <w:sz w:val="17"/>
              </w:rPr>
              <w:t>Dépenses courantes consacrées à l’éducation</w:t>
            </w:r>
          </w:p>
        </w:tc>
        <w:tc>
          <w:tcPr>
            <w:tcW w:w="2165" w:type="dxa"/>
            <w:vMerge/>
            <w:tcBorders>
              <w:top w:val="nil"/>
              <w:left w:val="single" w:sz="12" w:space="0" w:color="FFFFFF"/>
              <w:bottom w:val="single" w:sz="12" w:space="0" w:color="FFFFFF"/>
              <w:right w:val="single" w:sz="12" w:space="0" w:color="FFFFFF"/>
            </w:tcBorders>
            <w:shd w:val="clear" w:color="auto" w:fill="FBE2DF"/>
          </w:tcPr>
          <w:p>
            <w:pPr>
              <w:rPr>
                <w:sz w:val="2"/>
                <w:szCs w:val="2"/>
              </w:rPr>
            </w:pPr>
          </w:p>
        </w:tc>
        <w:tc>
          <w:tcPr>
            <w:tcW w:w="5351" w:type="dxa"/>
            <w:tcBorders>
              <w:top w:val="single" w:sz="12" w:space="0" w:color="FFFFFF"/>
              <w:left w:val="single" w:sz="12" w:space="0" w:color="FFFFFF"/>
              <w:bottom w:val="single" w:sz="12" w:space="0" w:color="FFFFFF"/>
              <w:right w:val="single" w:sz="12" w:space="0" w:color="FFFFFF"/>
            </w:tcBorders>
            <w:shd w:val="clear" w:color="auto" w:fill="FBE2DF"/>
          </w:tcPr>
          <w:p>
            <w:pPr>
              <w:pStyle w:val="TableParagraph"/>
              <w:spacing w:line="271" w:lineRule="auto" w:before="119"/>
              <w:ind w:left="173" w:right="252"/>
              <w:rPr>
                <w:sz w:val="17"/>
              </w:rPr>
            </w:pPr>
            <w:r>
              <w:rPr>
                <w:color w:val="58595B"/>
                <w:sz w:val="17"/>
              </w:rPr>
              <w:t>En </w:t>
            </w:r>
            <w:r>
              <w:rPr>
                <w:color w:val="58595B"/>
                <w:spacing w:val="-3"/>
                <w:sz w:val="17"/>
              </w:rPr>
              <w:t>général, </w:t>
            </w:r>
            <w:r>
              <w:rPr>
                <w:color w:val="58595B"/>
                <w:sz w:val="17"/>
              </w:rPr>
              <w:t>la </w:t>
            </w:r>
            <w:r>
              <w:rPr>
                <w:color w:val="58595B"/>
                <w:spacing w:val="-3"/>
                <w:sz w:val="17"/>
              </w:rPr>
              <w:t>part </w:t>
            </w:r>
            <w:r>
              <w:rPr>
                <w:color w:val="58595B"/>
                <w:sz w:val="17"/>
              </w:rPr>
              <w:t>de </w:t>
            </w:r>
            <w:r>
              <w:rPr>
                <w:color w:val="58595B"/>
                <w:spacing w:val="-3"/>
                <w:sz w:val="17"/>
              </w:rPr>
              <w:t>l’EPE dans </w:t>
            </w:r>
            <w:r>
              <w:rPr>
                <w:color w:val="58595B"/>
                <w:sz w:val="17"/>
              </w:rPr>
              <w:t>les </w:t>
            </w:r>
            <w:r>
              <w:rPr>
                <w:color w:val="58595B"/>
                <w:spacing w:val="-3"/>
                <w:sz w:val="17"/>
              </w:rPr>
              <w:t>dépenses courantes consacrées </w:t>
            </w:r>
            <w:r>
              <w:rPr>
                <w:color w:val="58595B"/>
                <w:sz w:val="17"/>
              </w:rPr>
              <w:t>à </w:t>
            </w:r>
            <w:r>
              <w:rPr>
                <w:color w:val="58595B"/>
                <w:spacing w:val="-3"/>
                <w:sz w:val="17"/>
              </w:rPr>
              <w:t>l’éducation </w:t>
            </w:r>
            <w:r>
              <w:rPr>
                <w:color w:val="58595B"/>
                <w:sz w:val="17"/>
              </w:rPr>
              <w:t>se </w:t>
            </w:r>
            <w:r>
              <w:rPr>
                <w:color w:val="58595B"/>
                <w:spacing w:val="-3"/>
                <w:sz w:val="17"/>
              </w:rPr>
              <w:t>stabilise avec </w:t>
            </w:r>
            <w:r>
              <w:rPr>
                <w:color w:val="58595B"/>
                <w:sz w:val="17"/>
              </w:rPr>
              <w:t>le temps car </w:t>
            </w:r>
            <w:r>
              <w:rPr>
                <w:color w:val="58595B"/>
                <w:spacing w:val="-3"/>
                <w:sz w:val="17"/>
              </w:rPr>
              <w:t>les dépenses courantes (EPE </w:t>
            </w:r>
            <w:r>
              <w:rPr>
                <w:color w:val="58595B"/>
                <w:sz w:val="17"/>
              </w:rPr>
              <w:t>et </w:t>
            </w:r>
            <w:r>
              <w:rPr>
                <w:color w:val="58595B"/>
                <w:spacing w:val="-3"/>
                <w:sz w:val="17"/>
              </w:rPr>
              <w:t>éducation confondues) sont essentiellement affectées </w:t>
            </w:r>
            <w:r>
              <w:rPr>
                <w:color w:val="58595B"/>
                <w:sz w:val="17"/>
              </w:rPr>
              <w:t>à la </w:t>
            </w:r>
            <w:r>
              <w:rPr>
                <w:color w:val="58595B"/>
                <w:spacing w:val="-3"/>
                <w:sz w:val="17"/>
              </w:rPr>
              <w:t>rémunération </w:t>
            </w:r>
            <w:r>
              <w:rPr>
                <w:color w:val="58595B"/>
                <w:sz w:val="17"/>
              </w:rPr>
              <w:t>des </w:t>
            </w:r>
            <w:r>
              <w:rPr>
                <w:color w:val="58595B"/>
                <w:spacing w:val="-3"/>
                <w:sz w:val="17"/>
              </w:rPr>
              <w:t>enseignants, laquelle évolue relativement lentement.</w:t>
            </w:r>
          </w:p>
        </w:tc>
      </w:tr>
      <w:tr>
        <w:trPr>
          <w:trHeight w:val="1318" w:hRule="atLeast"/>
        </w:trPr>
        <w:tc>
          <w:tcPr>
            <w:tcW w:w="1928"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rPr>
                <w:rFonts w:ascii="Times New Roman"/>
                <w:sz w:val="16"/>
              </w:rPr>
            </w:pPr>
          </w:p>
        </w:tc>
        <w:tc>
          <w:tcPr>
            <w:tcW w:w="1745"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71" w:lineRule="auto" w:before="119"/>
              <w:ind w:left="173" w:right="265"/>
              <w:rPr>
                <w:sz w:val="17"/>
              </w:rPr>
            </w:pPr>
            <w:r>
              <w:rPr>
                <w:color w:val="58595B"/>
                <w:sz w:val="17"/>
              </w:rPr>
              <w:t>Dépenses d’investissement</w:t>
            </w:r>
          </w:p>
        </w:tc>
        <w:tc>
          <w:tcPr>
            <w:tcW w:w="3209"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71" w:lineRule="auto" w:before="119"/>
              <w:ind w:left="209" w:right="172" w:firstLine="713"/>
              <w:rPr>
                <w:sz w:val="17"/>
              </w:rPr>
            </w:pPr>
            <w:r>
              <w:rPr>
                <w:color w:val="58595B"/>
                <w:sz w:val="17"/>
              </w:rPr>
              <w:t>Dépenses publiques d’investissement consacrées à l’EPE</w:t>
            </w:r>
          </w:p>
          <w:p>
            <w:pPr>
              <w:pStyle w:val="TableParagraph"/>
              <w:spacing w:before="3"/>
              <w:rPr>
                <w:sz w:val="13"/>
              </w:rPr>
            </w:pPr>
          </w:p>
          <w:p>
            <w:pPr>
              <w:pStyle w:val="TableParagraph"/>
              <w:spacing w:line="20" w:lineRule="exact"/>
              <w:ind w:left="144"/>
              <w:rPr>
                <w:sz w:val="2"/>
              </w:rPr>
            </w:pPr>
            <w:r>
              <w:rPr>
                <w:sz w:val="2"/>
              </w:rPr>
              <w:pict>
                <v:group style="width:145.15pt;height:.25pt;mso-position-horizontal-relative:char;mso-position-vertical-relative:line" coordorigin="0,0" coordsize="2903,5">
                  <v:line style="position:absolute" from="0,3" to="2903,3" stroked="true" strokeweight=".25pt" strokecolor="#58595b">
                    <v:stroke dashstyle="solid"/>
                  </v:line>
                </v:group>
              </w:pict>
            </w:r>
            <w:r>
              <w:rPr>
                <w:sz w:val="2"/>
              </w:rPr>
            </w:r>
          </w:p>
          <w:p>
            <w:pPr>
              <w:pStyle w:val="TableParagraph"/>
              <w:spacing w:line="271" w:lineRule="auto" w:before="46"/>
              <w:ind w:left="1192" w:right="318" w:hanging="837"/>
              <w:rPr>
                <w:sz w:val="17"/>
              </w:rPr>
            </w:pPr>
            <w:r>
              <w:rPr>
                <w:color w:val="58595B"/>
                <w:sz w:val="17"/>
              </w:rPr>
              <w:t>Dépenses d’investissement dans l’éducation</w:t>
            </w:r>
          </w:p>
        </w:tc>
        <w:tc>
          <w:tcPr>
            <w:tcW w:w="2165"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rPr>
                <w:rFonts w:ascii="Times New Roman"/>
                <w:sz w:val="16"/>
              </w:rPr>
            </w:pPr>
          </w:p>
        </w:tc>
        <w:tc>
          <w:tcPr>
            <w:tcW w:w="5351" w:type="dxa"/>
            <w:tcBorders>
              <w:top w:val="single" w:sz="12" w:space="0" w:color="FFFFFF"/>
              <w:left w:val="single" w:sz="12" w:space="0" w:color="FFFFFF"/>
              <w:bottom w:val="single" w:sz="8" w:space="0" w:color="FFFFFF"/>
              <w:right w:val="single" w:sz="12" w:space="0" w:color="FFFFFF"/>
            </w:tcBorders>
            <w:shd w:val="clear" w:color="auto" w:fill="FBE2DF"/>
          </w:tcPr>
          <w:p>
            <w:pPr>
              <w:pStyle w:val="TableParagraph"/>
              <w:spacing w:line="271" w:lineRule="auto" w:before="119"/>
              <w:ind w:left="173" w:right="639"/>
              <w:rPr>
                <w:sz w:val="17"/>
              </w:rPr>
            </w:pPr>
            <w:r>
              <w:rPr>
                <w:color w:val="58595B"/>
                <w:sz w:val="17"/>
              </w:rPr>
              <w:t>Les niveaux d’accès à l’EPE étant généralement inférieurs à ceux des autres sous-secteurs, il peut être nécessaire d’investir</w:t>
            </w:r>
            <w:r>
              <w:rPr>
                <w:color w:val="58595B"/>
                <w:spacing w:val="-8"/>
                <w:sz w:val="17"/>
              </w:rPr>
              <w:t> </w:t>
            </w:r>
            <w:r>
              <w:rPr>
                <w:color w:val="58595B"/>
                <w:sz w:val="17"/>
              </w:rPr>
              <w:t>davantage</w:t>
            </w:r>
            <w:r>
              <w:rPr>
                <w:color w:val="58595B"/>
                <w:spacing w:val="-8"/>
                <w:sz w:val="17"/>
              </w:rPr>
              <w:t> </w:t>
            </w:r>
            <w:r>
              <w:rPr>
                <w:color w:val="58595B"/>
                <w:sz w:val="17"/>
              </w:rPr>
              <w:t>dans</w:t>
            </w:r>
            <w:r>
              <w:rPr>
                <w:color w:val="58595B"/>
                <w:spacing w:val="-8"/>
                <w:sz w:val="17"/>
              </w:rPr>
              <w:t> </w:t>
            </w:r>
            <w:r>
              <w:rPr>
                <w:color w:val="58595B"/>
                <w:sz w:val="17"/>
              </w:rPr>
              <w:t>les</w:t>
            </w:r>
            <w:r>
              <w:rPr>
                <w:color w:val="58595B"/>
                <w:spacing w:val="-8"/>
                <w:sz w:val="17"/>
              </w:rPr>
              <w:t> </w:t>
            </w:r>
            <w:r>
              <w:rPr>
                <w:color w:val="58595B"/>
                <w:sz w:val="17"/>
              </w:rPr>
              <w:t>infrastructures</w:t>
            </w:r>
            <w:r>
              <w:rPr>
                <w:color w:val="58595B"/>
                <w:spacing w:val="-8"/>
                <w:sz w:val="17"/>
              </w:rPr>
              <w:t> </w:t>
            </w:r>
            <w:r>
              <w:rPr>
                <w:color w:val="58595B"/>
                <w:sz w:val="17"/>
              </w:rPr>
              <w:t>afin</w:t>
            </w:r>
            <w:r>
              <w:rPr>
                <w:color w:val="58595B"/>
                <w:spacing w:val="-8"/>
                <w:sz w:val="17"/>
              </w:rPr>
              <w:t> </w:t>
            </w:r>
            <w:r>
              <w:rPr>
                <w:color w:val="58595B"/>
                <w:sz w:val="17"/>
              </w:rPr>
              <w:t>d’améliorer considérablement l’accès à</w:t>
            </w:r>
            <w:r>
              <w:rPr>
                <w:color w:val="58595B"/>
                <w:spacing w:val="-3"/>
                <w:sz w:val="17"/>
              </w:rPr>
              <w:t> </w:t>
            </w:r>
            <w:r>
              <w:rPr>
                <w:color w:val="58595B"/>
                <w:sz w:val="17"/>
              </w:rPr>
              <w:t>l’EPE.</w:t>
            </w:r>
          </w:p>
        </w:tc>
      </w:tr>
      <w:tr>
        <w:trPr>
          <w:trHeight w:val="1966" w:hRule="atLeast"/>
        </w:trPr>
        <w:tc>
          <w:tcPr>
            <w:tcW w:w="14398" w:type="dxa"/>
            <w:gridSpan w:val="5"/>
            <w:tcBorders>
              <w:top w:val="single" w:sz="8" w:space="0" w:color="FFFFFF"/>
              <w:left w:val="nil"/>
              <w:bottom w:val="single" w:sz="8" w:space="0" w:color="FFFFFF"/>
              <w:right w:val="nil"/>
            </w:tcBorders>
            <w:shd w:val="clear" w:color="auto" w:fill="F1F1F2"/>
          </w:tcPr>
          <w:p>
            <w:pPr>
              <w:pStyle w:val="TableParagraph"/>
              <w:spacing w:line="297" w:lineRule="auto" w:before="130"/>
              <w:ind w:left="295" w:right="246"/>
              <w:rPr>
                <w:sz w:val="14"/>
              </w:rPr>
            </w:pPr>
            <w:r>
              <w:rPr>
                <w:color w:val="58595B"/>
                <w:sz w:val="14"/>
              </w:rPr>
              <w:t>Remarque : si les dépenses consacrées à l’EPE ne sont pas disponibles, celles-ci étant parfois intégrées au budget de l’enseignement primaire, il est possible de calculer approximativement leur montant à partir du nombre d’enseignants dans l’EPE ou, à défaut, du nombre d’élèves. Cette estimation est justifiée par le fait que la plus grande partie du budget courant est consacrée à la rémunération des enseignants. Par conséquent, les dépenses d’EPE peuvent être estimées en rapportant le total des dépenses consacrées à l’EPE et à l’enseignement primaire au nombre d’enseignants (ou d’élèves). Ces deux calculs donnent généralement des résultats similaires. Toutefois, si les résultats présentent un écart important ne pouvant s’expliquer par un problème lié à la qualité des données (nombre d’élèves ou d’enseignants) et qu’il est impossible de trancher, on utilise la moyenne des deux calculs ci-dessous.</w:t>
            </w:r>
          </w:p>
          <w:p>
            <w:pPr>
              <w:pStyle w:val="TableParagraph"/>
              <w:tabs>
                <w:tab w:pos="3293" w:val="left" w:leader="none"/>
                <w:tab w:pos="6437" w:val="left" w:leader="none"/>
                <w:tab w:pos="7014" w:val="left" w:leader="none"/>
                <w:tab w:pos="7681" w:val="left" w:leader="none"/>
                <w:tab w:pos="9739" w:val="left" w:leader="none"/>
                <w:tab w:pos="10823" w:val="left" w:leader="none"/>
                <w:tab w:pos="13872" w:val="left" w:leader="none"/>
              </w:tabs>
              <w:spacing w:line="225" w:lineRule="auto" w:before="103"/>
              <w:ind w:left="300" w:right="523" w:firstLine="2071"/>
              <w:rPr>
                <w:sz w:val="13"/>
              </w:rPr>
            </w:pPr>
            <w:r>
              <w:rPr>
                <w:color w:val="58595B"/>
                <w:spacing w:val="-4"/>
                <w:sz w:val="13"/>
              </w:rPr>
              <w:t>Total </w:t>
            </w:r>
            <w:r>
              <w:rPr>
                <w:color w:val="58595B"/>
                <w:sz w:val="13"/>
              </w:rPr>
              <w:t>des dépenses consacrées à l’EPE et à</w:t>
            </w:r>
            <w:r>
              <w:rPr>
                <w:color w:val="58595B"/>
                <w:spacing w:val="-27"/>
                <w:sz w:val="13"/>
              </w:rPr>
              <w:t> </w:t>
            </w:r>
            <w:r>
              <w:rPr>
                <w:color w:val="58595B"/>
                <w:sz w:val="13"/>
              </w:rPr>
              <w:t>l’enseignement</w:t>
            </w:r>
            <w:r>
              <w:rPr>
                <w:color w:val="58595B"/>
                <w:spacing w:val="-3"/>
                <w:sz w:val="13"/>
              </w:rPr>
              <w:t> </w:t>
            </w:r>
            <w:r>
              <w:rPr>
                <w:color w:val="58595B"/>
                <w:sz w:val="13"/>
              </w:rPr>
              <w:t>primaire</w:t>
              <w:tab/>
              <w:tab/>
              <w:tab/>
              <w:tab/>
            </w:r>
            <w:r>
              <w:rPr>
                <w:color w:val="58595B"/>
                <w:spacing w:val="-4"/>
                <w:sz w:val="13"/>
              </w:rPr>
              <w:t>Total </w:t>
            </w:r>
            <w:r>
              <w:rPr>
                <w:color w:val="58595B"/>
                <w:sz w:val="13"/>
              </w:rPr>
              <w:t>des dépenses consacrées à l’EPE et à l’enseignement primaire </w:t>
            </w:r>
            <w:r>
              <w:rPr>
                <w:color w:val="58595B"/>
                <w:position w:val="-8"/>
                <w:sz w:val="13"/>
              </w:rPr>
              <w:t>Dépenses consacrées à</w:t>
            </w:r>
            <w:r>
              <w:rPr>
                <w:color w:val="58595B"/>
                <w:spacing w:val="-7"/>
                <w:position w:val="-8"/>
                <w:sz w:val="13"/>
              </w:rPr>
              <w:t> </w:t>
            </w:r>
            <w:r>
              <w:rPr>
                <w:color w:val="58595B"/>
                <w:position w:val="-8"/>
                <w:sz w:val="13"/>
              </w:rPr>
              <w:t>l’EPE</w:t>
            </w:r>
            <w:r>
              <w:rPr>
                <w:color w:val="58595B"/>
                <w:spacing w:val="-2"/>
                <w:position w:val="-8"/>
                <w:sz w:val="13"/>
              </w:rPr>
              <w:t> </w:t>
            </w:r>
            <w:r>
              <w:rPr>
                <w:color w:val="58595B"/>
                <w:position w:val="-8"/>
                <w:sz w:val="13"/>
              </w:rPr>
              <w:t>≈</w:t>
            </w:r>
            <w:r>
              <w:rPr>
                <w:color w:val="58595B"/>
                <w:sz w:val="13"/>
                <w:u w:val="single" w:color="58595B"/>
              </w:rPr>
              <w:t> </w:t>
              <w:tab/>
              <w:t>x  Nombre d’enseignants</w:t>
            </w:r>
            <w:r>
              <w:rPr>
                <w:color w:val="58595B"/>
                <w:spacing w:val="-14"/>
                <w:sz w:val="13"/>
                <w:u w:val="single" w:color="58595B"/>
              </w:rPr>
              <w:t> </w:t>
            </w:r>
            <w:r>
              <w:rPr>
                <w:color w:val="58595B"/>
                <w:sz w:val="13"/>
                <w:u w:val="single" w:color="58595B"/>
              </w:rPr>
              <w:t>dans</w:t>
            </w:r>
            <w:r>
              <w:rPr>
                <w:color w:val="58595B"/>
                <w:spacing w:val="-3"/>
                <w:sz w:val="13"/>
                <w:u w:val="single" w:color="58595B"/>
              </w:rPr>
              <w:t> </w:t>
            </w:r>
            <w:r>
              <w:rPr>
                <w:color w:val="58595B"/>
                <w:sz w:val="13"/>
                <w:u w:val="single" w:color="58595B"/>
              </w:rPr>
              <w:t>l’EPE</w:t>
              <w:tab/>
            </w:r>
            <w:r>
              <w:rPr>
                <w:color w:val="58595B"/>
                <w:sz w:val="13"/>
              </w:rPr>
              <w:tab/>
            </w:r>
            <w:r>
              <w:rPr>
                <w:color w:val="58595B"/>
                <w:position w:val="-9"/>
                <w:sz w:val="13"/>
              </w:rPr>
              <w:t>ou</w:t>
              <w:tab/>
              <w:t>Dépenses consacrées à</w:t>
            </w:r>
            <w:r>
              <w:rPr>
                <w:color w:val="58595B"/>
                <w:spacing w:val="-7"/>
                <w:position w:val="-9"/>
                <w:sz w:val="13"/>
              </w:rPr>
              <w:t> </w:t>
            </w:r>
            <w:r>
              <w:rPr>
                <w:color w:val="58595B"/>
                <w:position w:val="-9"/>
                <w:sz w:val="13"/>
              </w:rPr>
              <w:t>l’EPE</w:t>
            </w:r>
            <w:r>
              <w:rPr>
                <w:color w:val="58595B"/>
                <w:spacing w:val="-2"/>
                <w:position w:val="-9"/>
                <w:sz w:val="13"/>
              </w:rPr>
              <w:t> </w:t>
            </w:r>
            <w:r>
              <w:rPr>
                <w:color w:val="58595B"/>
                <w:position w:val="-9"/>
                <w:sz w:val="13"/>
              </w:rPr>
              <w:t>≈</w:t>
            </w:r>
            <w:r>
              <w:rPr>
                <w:color w:val="58595B"/>
                <w:sz w:val="13"/>
                <w:u w:val="single" w:color="58595B"/>
              </w:rPr>
              <w:t> </w:t>
              <w:tab/>
              <w:tab/>
              <w:t>x  Nombre d’élèves dans</w:t>
            </w:r>
            <w:r>
              <w:rPr>
                <w:color w:val="58595B"/>
                <w:spacing w:val="-22"/>
                <w:sz w:val="13"/>
                <w:u w:val="single" w:color="58595B"/>
              </w:rPr>
              <w:t> </w:t>
            </w:r>
            <w:r>
              <w:rPr>
                <w:color w:val="58595B"/>
                <w:sz w:val="13"/>
                <w:u w:val="single" w:color="58595B"/>
              </w:rPr>
              <w:t>l’EPE</w:t>
              <w:tab/>
            </w:r>
          </w:p>
          <w:p>
            <w:pPr>
              <w:pStyle w:val="TableParagraph"/>
              <w:tabs>
                <w:tab w:pos="9979" w:val="left" w:leader="none"/>
              </w:tabs>
              <w:spacing w:line="93" w:lineRule="exact"/>
              <w:ind w:left="2440"/>
              <w:rPr>
                <w:sz w:val="13"/>
              </w:rPr>
            </w:pPr>
            <w:r>
              <w:rPr>
                <w:color w:val="58595B"/>
                <w:sz w:val="13"/>
              </w:rPr>
              <w:t>Nombre</w:t>
            </w:r>
            <w:r>
              <w:rPr>
                <w:color w:val="58595B"/>
                <w:spacing w:val="-6"/>
                <w:sz w:val="13"/>
              </w:rPr>
              <w:t> </w:t>
            </w:r>
            <w:r>
              <w:rPr>
                <w:color w:val="58595B"/>
                <w:sz w:val="13"/>
              </w:rPr>
              <w:t>total</w:t>
            </w:r>
            <w:r>
              <w:rPr>
                <w:color w:val="58595B"/>
                <w:spacing w:val="-5"/>
                <w:sz w:val="13"/>
              </w:rPr>
              <w:t> </w:t>
            </w:r>
            <w:r>
              <w:rPr>
                <w:color w:val="58595B"/>
                <w:sz w:val="13"/>
              </w:rPr>
              <w:t>d’enseignants</w:t>
            </w:r>
            <w:r>
              <w:rPr>
                <w:color w:val="58595B"/>
                <w:spacing w:val="-6"/>
                <w:sz w:val="13"/>
              </w:rPr>
              <w:t> </w:t>
            </w:r>
            <w:r>
              <w:rPr>
                <w:color w:val="58595B"/>
                <w:sz w:val="13"/>
              </w:rPr>
              <w:t>dans</w:t>
            </w:r>
            <w:r>
              <w:rPr>
                <w:color w:val="58595B"/>
                <w:spacing w:val="-6"/>
                <w:sz w:val="13"/>
              </w:rPr>
              <w:t> </w:t>
            </w:r>
            <w:r>
              <w:rPr>
                <w:color w:val="58595B"/>
                <w:sz w:val="13"/>
              </w:rPr>
              <w:t>l’EPE</w:t>
            </w:r>
            <w:r>
              <w:rPr>
                <w:color w:val="58595B"/>
                <w:spacing w:val="-6"/>
                <w:sz w:val="13"/>
              </w:rPr>
              <w:t> </w:t>
            </w:r>
            <w:r>
              <w:rPr>
                <w:color w:val="58595B"/>
                <w:sz w:val="13"/>
              </w:rPr>
              <w:t>et</w:t>
            </w:r>
            <w:r>
              <w:rPr>
                <w:color w:val="58595B"/>
                <w:spacing w:val="-6"/>
                <w:sz w:val="13"/>
              </w:rPr>
              <w:t> </w:t>
            </w:r>
            <w:r>
              <w:rPr>
                <w:color w:val="58595B"/>
                <w:sz w:val="13"/>
              </w:rPr>
              <w:t>l’enseignement</w:t>
            </w:r>
            <w:r>
              <w:rPr>
                <w:color w:val="58595B"/>
                <w:spacing w:val="-6"/>
                <w:sz w:val="13"/>
              </w:rPr>
              <w:t> </w:t>
            </w:r>
            <w:r>
              <w:rPr>
                <w:color w:val="58595B"/>
                <w:sz w:val="13"/>
              </w:rPr>
              <w:t>primaire</w:t>
              <w:tab/>
              <w:t>Nombre total d’élèves dans l’EPE et l’enseignement</w:t>
            </w:r>
            <w:r>
              <w:rPr>
                <w:color w:val="58595B"/>
                <w:spacing w:val="-14"/>
                <w:sz w:val="13"/>
              </w:rPr>
              <w:t> </w:t>
            </w:r>
            <w:r>
              <w:rPr>
                <w:color w:val="58595B"/>
                <w:sz w:val="13"/>
              </w:rPr>
              <w:t>primaire</w:t>
            </w:r>
          </w:p>
        </w:tc>
      </w:tr>
    </w:tbl>
    <w:p>
      <w:pPr>
        <w:spacing w:after="0" w:line="93" w:lineRule="exact"/>
        <w:rPr>
          <w:sz w:val="13"/>
        </w:rPr>
        <w:sectPr>
          <w:headerReference w:type="default" r:id="rId8"/>
          <w:pgSz w:w="15840" w:h="12240" w:orient="landscape"/>
          <w:pgMar w:header="461" w:footer="0" w:top="660" w:bottom="0" w:left="600" w:right="340"/>
        </w:sectPr>
      </w:pPr>
    </w:p>
    <w:p>
      <w:pPr>
        <w:tabs>
          <w:tab w:pos="14643" w:val="left" w:leader="none"/>
        </w:tabs>
        <w:spacing w:before="76" w:after="30"/>
        <w:ind w:left="245" w:right="0" w:firstLine="0"/>
        <w:jc w:val="left"/>
        <w:rPr>
          <w:sz w:val="16"/>
        </w:rPr>
      </w:pPr>
      <w:r>
        <w:rPr/>
        <w:pict>
          <v:line style="position:absolute;mso-position-horizontal-relative:page;mso-position-vertical-relative:page;z-index:-44992" from="394.582794pt,168.291306pt" to="462.949794pt,168.291306pt" stroked="true" strokeweight=".3pt" strokecolor="#000000">
            <v:stroke dashstyle="solid"/>
            <w10:wrap type="none"/>
          </v:line>
        </w:pict>
      </w:r>
      <w:r>
        <w:rPr/>
        <w:pict>
          <v:line style="position:absolute;mso-position-horizontal-relative:page;mso-position-vertical-relative:page;z-index:-44968" from="394.582794pt,179.291306pt" to="459.095794pt,179.291306pt" stroked="true" strokeweight=".3pt" strokecolor="#000000">
            <v:stroke dashstyle="solid"/>
            <w10:wrap type="none"/>
          </v:line>
        </w:pict>
      </w:r>
      <w:r>
        <w:rPr/>
        <w:pict>
          <v:line style="position:absolute;mso-position-horizontal-relative:page;mso-position-vertical-relative:page;z-index:-44944" from="394.582794pt,190.291306pt" to="482.384794pt,190.291306pt" stroked="true" strokeweight=".3pt" strokecolor="#000000">
            <v:stroke dashstyle="solid"/>
            <w10:wrap type="none"/>
          </v:line>
        </w:pict>
      </w:r>
      <w:r>
        <w:rPr/>
        <w:pict>
          <v:line style="position:absolute;mso-position-horizontal-relative:page;mso-position-vertical-relative:page;z-index:-44920" from="394.582794pt,201.291306pt" to="471.445794pt,201.291306pt" stroked="true" strokeweight=".3pt" strokecolor="#000000">
            <v:stroke dashstyle="solid"/>
            <w10:wrap type="none"/>
          </v:line>
        </w:pict>
      </w:r>
      <w:r>
        <w:rPr/>
        <w:pict>
          <v:line style="position:absolute;mso-position-horizontal-relative:page;mso-position-vertical-relative:page;z-index:-44896" from="394.582794pt,212.291306pt" to="470.234794pt,212.291306pt" stroked="true" strokeweight=".3pt" strokecolor="#000000">
            <v:stroke dashstyle="solid"/>
            <w10:wrap type="none"/>
          </v:line>
        </w:pict>
      </w:r>
      <w:r>
        <w:rPr>
          <w:color w:val="808285"/>
          <w:sz w:val="16"/>
          <w:u w:val="single" w:color="939598"/>
        </w:rPr>
        <w:t> </w:t>
        <w:tab/>
      </w:r>
      <w:r>
        <w:rPr>
          <w:color w:val="808285"/>
          <w:spacing w:val="21"/>
          <w:sz w:val="16"/>
        </w:rPr>
        <w:t> </w:t>
      </w:r>
      <w:r>
        <w:rPr>
          <w:color w:val="808285"/>
          <w:sz w:val="16"/>
        </w:rPr>
        <w:t>3</w:t>
      </w:r>
    </w:p>
    <w:tbl>
      <w:tblPr>
        <w:tblW w:w="0" w:type="auto"/>
        <w:jc w:val="left"/>
        <w:tblInd w:w="254"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7"/>
        <w:gridCol w:w="1754"/>
        <w:gridCol w:w="3196"/>
        <w:gridCol w:w="2177"/>
        <w:gridCol w:w="5345"/>
      </w:tblGrid>
      <w:tr>
        <w:trPr>
          <w:trHeight w:val="442" w:hRule="atLeast"/>
        </w:trPr>
        <w:tc>
          <w:tcPr>
            <w:tcW w:w="1927" w:type="dxa"/>
            <w:tcBorders>
              <w:top w:val="nil"/>
              <w:left w:val="nil"/>
              <w:right w:val="nil"/>
            </w:tcBorders>
          </w:tcPr>
          <w:p>
            <w:pPr>
              <w:pStyle w:val="TableParagraph"/>
              <w:spacing w:before="94"/>
              <w:ind w:left="547"/>
              <w:rPr>
                <w:b/>
                <w:sz w:val="18"/>
              </w:rPr>
            </w:pPr>
            <w:r>
              <w:rPr>
                <w:b/>
                <w:color w:val="58595B"/>
                <w:sz w:val="18"/>
              </w:rPr>
              <w:t>Indicateur</w:t>
            </w:r>
          </w:p>
        </w:tc>
        <w:tc>
          <w:tcPr>
            <w:tcW w:w="1754" w:type="dxa"/>
            <w:tcBorders>
              <w:top w:val="nil"/>
              <w:left w:val="nil"/>
              <w:right w:val="nil"/>
            </w:tcBorders>
          </w:tcPr>
          <w:p>
            <w:pPr>
              <w:pStyle w:val="TableParagraph"/>
              <w:spacing w:before="94"/>
              <w:ind w:left="461" w:right="442"/>
              <w:jc w:val="center"/>
              <w:rPr>
                <w:b/>
                <w:sz w:val="18"/>
              </w:rPr>
            </w:pPr>
            <w:r>
              <w:rPr>
                <w:b/>
                <w:color w:val="58595B"/>
                <w:sz w:val="18"/>
              </w:rPr>
              <w:t>Variantes</w:t>
            </w:r>
          </w:p>
        </w:tc>
        <w:tc>
          <w:tcPr>
            <w:tcW w:w="3196" w:type="dxa"/>
            <w:tcBorders>
              <w:top w:val="nil"/>
              <w:left w:val="nil"/>
              <w:right w:val="nil"/>
            </w:tcBorders>
          </w:tcPr>
          <w:p>
            <w:pPr>
              <w:pStyle w:val="TableParagraph"/>
              <w:spacing w:before="94"/>
              <w:ind w:left="1169" w:right="1157"/>
              <w:jc w:val="center"/>
              <w:rPr>
                <w:b/>
                <w:sz w:val="18"/>
              </w:rPr>
            </w:pPr>
            <w:r>
              <w:rPr>
                <w:b/>
                <w:color w:val="58595B"/>
                <w:sz w:val="18"/>
              </w:rPr>
              <w:t>Définition</w:t>
            </w:r>
          </w:p>
        </w:tc>
        <w:tc>
          <w:tcPr>
            <w:tcW w:w="2177" w:type="dxa"/>
            <w:tcBorders>
              <w:top w:val="nil"/>
              <w:left w:val="nil"/>
              <w:right w:val="nil"/>
            </w:tcBorders>
          </w:tcPr>
          <w:p>
            <w:pPr>
              <w:pStyle w:val="TableParagraph"/>
              <w:spacing w:line="232" w:lineRule="auto"/>
              <w:ind w:left="143" w:right="103" w:firstLine="409"/>
              <w:rPr>
                <w:b/>
                <w:sz w:val="18"/>
              </w:rPr>
            </w:pPr>
            <w:r>
              <w:rPr>
                <w:b/>
                <w:color w:val="58595B"/>
                <w:sz w:val="18"/>
              </w:rPr>
              <w:t>Source(s) de données potentielle(s)</w:t>
            </w:r>
          </w:p>
        </w:tc>
        <w:tc>
          <w:tcPr>
            <w:tcW w:w="5345" w:type="dxa"/>
            <w:tcBorders>
              <w:top w:val="nil"/>
              <w:left w:val="nil"/>
              <w:right w:val="nil"/>
            </w:tcBorders>
          </w:tcPr>
          <w:p>
            <w:pPr>
              <w:pStyle w:val="TableParagraph"/>
              <w:spacing w:before="94"/>
              <w:ind w:left="2085" w:right="2066"/>
              <w:jc w:val="center"/>
              <w:rPr>
                <w:b/>
                <w:sz w:val="18"/>
              </w:rPr>
            </w:pPr>
            <w:r>
              <w:rPr>
                <w:b/>
                <w:color w:val="58595B"/>
                <w:sz w:val="18"/>
              </w:rPr>
              <w:t>Observations</w:t>
            </w:r>
          </w:p>
        </w:tc>
      </w:tr>
      <w:tr>
        <w:trPr>
          <w:trHeight w:val="3642" w:hRule="atLeast"/>
        </w:trPr>
        <w:tc>
          <w:tcPr>
            <w:tcW w:w="1927" w:type="dxa"/>
            <w:tcBorders>
              <w:left w:val="single" w:sz="8" w:space="0" w:color="FFFFFF"/>
              <w:bottom w:val="single" w:sz="8" w:space="0" w:color="FFFFFF"/>
              <w:right w:val="single" w:sz="8" w:space="0" w:color="FFFFFF"/>
            </w:tcBorders>
            <w:shd w:val="clear" w:color="auto" w:fill="F0F7E8"/>
          </w:tcPr>
          <w:p>
            <w:pPr>
              <w:pStyle w:val="TableParagraph"/>
              <w:spacing w:before="9"/>
              <w:rPr>
                <w:sz w:val="13"/>
              </w:rPr>
            </w:pPr>
          </w:p>
          <w:p>
            <w:pPr>
              <w:pStyle w:val="TableParagraph"/>
              <w:spacing w:line="210" w:lineRule="exact"/>
              <w:ind w:left="170"/>
              <w:rPr>
                <w:sz w:val="20"/>
              </w:rPr>
            </w:pPr>
            <w:r>
              <w:rPr>
                <w:position w:val="-3"/>
                <w:sz w:val="20"/>
              </w:rPr>
              <w:drawing>
                <wp:inline distT="0" distB="0" distL="0" distR="0">
                  <wp:extent cx="976635" cy="133350"/>
                  <wp:effectExtent l="0" t="0" r="0" b="0"/>
                  <wp:docPr id="13" name="image7.png" descr=""/>
                  <wp:cNvGraphicFramePr>
                    <a:graphicFrameLocks noChangeAspect="1"/>
                  </wp:cNvGraphicFramePr>
                  <a:graphic>
                    <a:graphicData uri="http://schemas.openxmlformats.org/drawingml/2006/picture">
                      <pic:pic>
                        <pic:nvPicPr>
                          <pic:cNvPr id="14" name="image7.png"/>
                          <pic:cNvPicPr/>
                        </pic:nvPicPr>
                        <pic:blipFill>
                          <a:blip r:embed="rId13" cstate="print"/>
                          <a:stretch>
                            <a:fillRect/>
                          </a:stretch>
                        </pic:blipFill>
                        <pic:spPr>
                          <a:xfrm>
                            <a:off x="0" y="0"/>
                            <a:ext cx="976635" cy="133350"/>
                          </a:xfrm>
                          <a:prstGeom prst="rect">
                            <a:avLst/>
                          </a:prstGeom>
                        </pic:spPr>
                      </pic:pic>
                    </a:graphicData>
                  </a:graphic>
                </wp:inline>
              </w:drawing>
            </w:r>
            <w:r>
              <w:rPr>
                <w:position w:val="-3"/>
                <w:sz w:val="20"/>
              </w:rPr>
            </w:r>
          </w:p>
          <w:p>
            <w:pPr>
              <w:pStyle w:val="TableParagraph"/>
              <w:spacing w:line="249" w:lineRule="auto" w:before="54"/>
              <w:ind w:left="170" w:right="544"/>
              <w:rPr>
                <w:b/>
                <w:sz w:val="20"/>
              </w:rPr>
            </w:pPr>
            <w:r>
              <w:rPr>
                <w:b/>
                <w:color w:val="58595B"/>
                <w:sz w:val="20"/>
              </w:rPr>
              <w:t>Dépenses publiques consacrées à l’EPE en</w:t>
            </w:r>
          </w:p>
          <w:p>
            <w:pPr>
              <w:pStyle w:val="TableParagraph"/>
              <w:spacing w:line="249" w:lineRule="auto" w:before="3"/>
              <w:ind w:left="170" w:right="229"/>
              <w:jc w:val="both"/>
              <w:rPr>
                <w:b/>
                <w:sz w:val="20"/>
              </w:rPr>
            </w:pPr>
            <w:r>
              <w:rPr>
                <w:b/>
                <w:color w:val="58595B"/>
                <w:spacing w:val="-3"/>
                <w:sz w:val="20"/>
              </w:rPr>
              <w:t>pourcentage du produit intérieur brut (PIB)</w:t>
            </w:r>
          </w:p>
        </w:tc>
        <w:tc>
          <w:tcPr>
            <w:tcW w:w="1754" w:type="dxa"/>
            <w:tcBorders>
              <w:left w:val="single" w:sz="8" w:space="0" w:color="FFFFFF"/>
              <w:bottom w:val="single" w:sz="8" w:space="0" w:color="FFFFFF"/>
              <w:right w:val="single" w:sz="8" w:space="0" w:color="FFFFFF"/>
            </w:tcBorders>
            <w:shd w:val="clear" w:color="auto" w:fill="F0F7E8"/>
          </w:tcPr>
          <w:p>
            <w:pPr>
              <w:pStyle w:val="TableParagraph"/>
              <w:rPr>
                <w:rFonts w:ascii="Times New Roman"/>
                <w:sz w:val="16"/>
              </w:rPr>
            </w:pPr>
          </w:p>
        </w:tc>
        <w:tc>
          <w:tcPr>
            <w:tcW w:w="3196" w:type="dxa"/>
            <w:tcBorders>
              <w:left w:val="single" w:sz="8" w:space="0" w:color="FFFFFF"/>
              <w:bottom w:val="single" w:sz="8" w:space="0" w:color="FFFFFF"/>
              <w:right w:val="single" w:sz="8" w:space="0" w:color="FFFFFF"/>
            </w:tcBorders>
            <w:shd w:val="clear" w:color="auto" w:fill="F0F7E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line="220" w:lineRule="atLeast" w:before="126"/>
              <w:ind w:left="412" w:right="304"/>
              <w:jc w:val="center"/>
              <w:rPr>
                <w:sz w:val="17"/>
              </w:rPr>
            </w:pPr>
            <w:r>
              <w:rPr>
                <w:color w:val="58595B"/>
                <w:sz w:val="17"/>
              </w:rPr>
              <w:t>Dépenses publiques consacrées à l’EPE</w:t>
            </w:r>
          </w:p>
          <w:p>
            <w:pPr>
              <w:pStyle w:val="TableParagraph"/>
              <w:tabs>
                <w:tab w:pos="2912" w:val="left" w:leader="none"/>
              </w:tabs>
              <w:spacing w:line="170" w:lineRule="exact"/>
              <w:ind w:left="12"/>
              <w:jc w:val="center"/>
              <w:rPr>
                <w:sz w:val="17"/>
              </w:rPr>
            </w:pPr>
            <w:r>
              <w:rPr>
                <w:color w:val="58595B"/>
                <w:sz w:val="17"/>
                <w:u w:val="single" w:color="58595B"/>
              </w:rPr>
              <w:t> </w:t>
              <w:tab/>
            </w:r>
          </w:p>
          <w:p>
            <w:pPr>
              <w:pStyle w:val="TableParagraph"/>
              <w:spacing w:before="75"/>
              <w:ind w:left="316" w:right="304"/>
              <w:jc w:val="center"/>
              <w:rPr>
                <w:sz w:val="17"/>
              </w:rPr>
            </w:pPr>
            <w:r>
              <w:rPr>
                <w:color w:val="58595B"/>
                <w:sz w:val="17"/>
              </w:rPr>
              <w:t>PIB</w:t>
            </w:r>
          </w:p>
        </w:tc>
        <w:tc>
          <w:tcPr>
            <w:tcW w:w="2177" w:type="dxa"/>
            <w:tcBorders>
              <w:left w:val="single" w:sz="8" w:space="0" w:color="FFFFFF"/>
              <w:bottom w:val="single" w:sz="8" w:space="0" w:color="FFFFFF"/>
              <w:right w:val="single" w:sz="8" w:space="0" w:color="FFFFFF"/>
            </w:tcBorders>
            <w:shd w:val="clear" w:color="auto" w:fill="F0F7E8"/>
          </w:tcPr>
          <w:p>
            <w:pPr>
              <w:pStyle w:val="TableParagraph"/>
              <w:spacing w:line="271" w:lineRule="auto" w:before="123"/>
              <w:ind w:left="169" w:right="182"/>
              <w:rPr>
                <w:sz w:val="17"/>
              </w:rPr>
            </w:pPr>
            <w:r>
              <w:rPr>
                <w:color w:val="58595B"/>
                <w:sz w:val="17"/>
              </w:rPr>
              <w:t>Direction financière du ministère de l’éducation</w:t>
            </w:r>
          </w:p>
          <w:p>
            <w:pPr>
              <w:pStyle w:val="TableParagraph"/>
              <w:spacing w:before="111"/>
              <w:ind w:left="169"/>
              <w:rPr>
                <w:i/>
                <w:sz w:val="17"/>
              </w:rPr>
            </w:pPr>
            <w:r>
              <w:rPr>
                <w:i/>
                <w:color w:val="58595B"/>
                <w:sz w:val="17"/>
              </w:rPr>
              <w:t>et/ou</w:t>
            </w:r>
          </w:p>
          <w:p>
            <w:pPr>
              <w:pStyle w:val="TableParagraph"/>
              <w:spacing w:line="271" w:lineRule="auto" w:before="138"/>
              <w:ind w:left="169" w:right="229"/>
              <w:rPr>
                <w:sz w:val="17"/>
              </w:rPr>
            </w:pPr>
            <w:r>
              <w:rPr>
                <w:color w:val="58595B"/>
                <w:sz w:val="17"/>
              </w:rPr>
              <w:t>Ministère des finances/ du budget</w:t>
            </w:r>
          </w:p>
          <w:p>
            <w:pPr>
              <w:pStyle w:val="TableParagraph"/>
              <w:spacing w:line="271" w:lineRule="auto" w:before="112"/>
              <w:ind w:left="169" w:right="578"/>
              <w:rPr>
                <w:sz w:val="17"/>
              </w:rPr>
            </w:pPr>
            <w:r>
              <w:rPr>
                <w:color w:val="58595B"/>
                <w:sz w:val="17"/>
              </w:rPr>
              <w:t>Chiffres du PIB extraits de la </w:t>
            </w:r>
            <w:hyperlink r:id="rId14">
              <w:r>
                <w:rPr>
                  <w:color w:val="58595B"/>
                  <w:sz w:val="17"/>
                  <w:u w:val="single" w:color="000000"/>
                </w:rPr>
                <w:t>page</w:t>
              </w:r>
            </w:hyperlink>
            <w:r>
              <w:rPr>
                <w:color w:val="58595B"/>
                <w:sz w:val="17"/>
              </w:rPr>
              <w:t> </w:t>
            </w:r>
            <w:hyperlink r:id="rId14">
              <w:r>
                <w:rPr>
                  <w:color w:val="58595B"/>
                  <w:sz w:val="17"/>
                </w:rPr>
                <w:t>du site Internet du</w:t>
              </w:r>
            </w:hyperlink>
            <w:r>
              <w:rPr>
                <w:color w:val="58595B"/>
                <w:sz w:val="17"/>
              </w:rPr>
              <w:t> </w:t>
            </w:r>
            <w:hyperlink r:id="rId14">
              <w:r>
                <w:rPr>
                  <w:color w:val="58595B"/>
                  <w:sz w:val="17"/>
                </w:rPr>
                <w:t>Fonds monétaire</w:t>
              </w:r>
            </w:hyperlink>
          </w:p>
          <w:p>
            <w:pPr>
              <w:pStyle w:val="TableParagraph"/>
              <w:spacing w:line="271" w:lineRule="auto"/>
              <w:ind w:left="169" w:right="210"/>
              <w:rPr>
                <w:sz w:val="17"/>
              </w:rPr>
            </w:pPr>
            <w:hyperlink r:id="rId14">
              <w:r>
                <w:rPr>
                  <w:color w:val="58595B"/>
                  <w:sz w:val="17"/>
                </w:rPr>
                <w:t>international consacrée</w:t>
              </w:r>
            </w:hyperlink>
            <w:r>
              <w:rPr>
                <w:color w:val="58595B"/>
                <w:sz w:val="17"/>
              </w:rPr>
              <w:t> </w:t>
            </w:r>
            <w:hyperlink r:id="rId14">
              <w:r>
                <w:rPr>
                  <w:color w:val="58595B"/>
                  <w:sz w:val="17"/>
                </w:rPr>
                <w:t>aux Perspectives de</w:t>
              </w:r>
            </w:hyperlink>
            <w:r>
              <w:rPr>
                <w:color w:val="58595B"/>
                <w:sz w:val="17"/>
              </w:rPr>
              <w:t> </w:t>
            </w:r>
            <w:hyperlink r:id="rId14">
              <w:r>
                <w:rPr>
                  <w:color w:val="58595B"/>
                  <w:sz w:val="17"/>
                </w:rPr>
                <w:t>l’économie mondiale</w:t>
              </w:r>
            </w:hyperlink>
          </w:p>
        </w:tc>
        <w:tc>
          <w:tcPr>
            <w:tcW w:w="5345" w:type="dxa"/>
            <w:tcBorders>
              <w:left w:val="single" w:sz="8" w:space="0" w:color="FFFFFF"/>
              <w:bottom w:val="single" w:sz="8" w:space="0" w:color="FFFFFF"/>
              <w:right w:val="single" w:sz="8" w:space="0" w:color="FFFFFF"/>
            </w:tcBorders>
            <w:shd w:val="clear" w:color="auto" w:fill="F0F7E8"/>
          </w:tcPr>
          <w:p>
            <w:pPr>
              <w:pStyle w:val="TableParagraph"/>
              <w:spacing w:line="271" w:lineRule="auto" w:before="123"/>
              <w:ind w:left="169" w:right="195"/>
              <w:rPr>
                <w:sz w:val="17"/>
              </w:rPr>
            </w:pPr>
            <w:r>
              <w:rPr>
                <w:color w:val="58595B"/>
                <w:sz w:val="17"/>
              </w:rPr>
              <w:t>Les </w:t>
            </w:r>
            <w:r>
              <w:rPr>
                <w:color w:val="58595B"/>
                <w:spacing w:val="-3"/>
                <w:sz w:val="17"/>
              </w:rPr>
              <w:t>dépenses consacrées </w:t>
            </w:r>
            <w:r>
              <w:rPr>
                <w:color w:val="58595B"/>
                <w:sz w:val="17"/>
              </w:rPr>
              <w:t>à </w:t>
            </w:r>
            <w:r>
              <w:rPr>
                <w:color w:val="58595B"/>
                <w:spacing w:val="-3"/>
                <w:sz w:val="17"/>
              </w:rPr>
              <w:t>l’EPE </w:t>
            </w:r>
            <w:r>
              <w:rPr>
                <w:color w:val="58595B"/>
                <w:sz w:val="17"/>
              </w:rPr>
              <w:t>en </w:t>
            </w:r>
            <w:r>
              <w:rPr>
                <w:color w:val="58595B"/>
                <w:spacing w:val="-3"/>
                <w:sz w:val="17"/>
              </w:rPr>
              <w:t>pourcentage </w:t>
            </w:r>
            <w:r>
              <w:rPr>
                <w:color w:val="58595B"/>
                <w:sz w:val="17"/>
              </w:rPr>
              <w:t>du </w:t>
            </w:r>
            <w:r>
              <w:rPr>
                <w:color w:val="58595B"/>
                <w:spacing w:val="-3"/>
                <w:sz w:val="17"/>
              </w:rPr>
              <w:t>PIB renseignent </w:t>
            </w:r>
            <w:r>
              <w:rPr>
                <w:color w:val="58595B"/>
                <w:sz w:val="17"/>
              </w:rPr>
              <w:t>sur les </w:t>
            </w:r>
            <w:r>
              <w:rPr>
                <w:color w:val="58595B"/>
                <w:spacing w:val="-3"/>
                <w:sz w:val="17"/>
              </w:rPr>
              <w:t>investissements réalisés </w:t>
            </w:r>
            <w:r>
              <w:rPr>
                <w:color w:val="58595B"/>
                <w:sz w:val="17"/>
              </w:rPr>
              <w:t>par un </w:t>
            </w:r>
            <w:r>
              <w:rPr>
                <w:color w:val="58595B"/>
                <w:spacing w:val="-3"/>
                <w:sz w:val="17"/>
              </w:rPr>
              <w:t>pays </w:t>
            </w:r>
            <w:r>
              <w:rPr>
                <w:color w:val="58595B"/>
                <w:sz w:val="17"/>
              </w:rPr>
              <w:t>en </w:t>
            </w:r>
            <w:r>
              <w:rPr>
                <w:color w:val="58595B"/>
                <w:spacing w:val="-3"/>
                <w:sz w:val="17"/>
              </w:rPr>
              <w:t>faveur </w:t>
            </w:r>
            <w:r>
              <w:rPr>
                <w:color w:val="58595B"/>
                <w:sz w:val="17"/>
              </w:rPr>
              <w:t>de </w:t>
            </w:r>
            <w:r>
              <w:rPr>
                <w:color w:val="58595B"/>
                <w:spacing w:val="-3"/>
                <w:sz w:val="17"/>
              </w:rPr>
              <w:t>l’EPE </w:t>
            </w:r>
            <w:r>
              <w:rPr>
                <w:color w:val="58595B"/>
                <w:sz w:val="17"/>
              </w:rPr>
              <w:t>en </w:t>
            </w:r>
            <w:r>
              <w:rPr>
                <w:color w:val="58595B"/>
                <w:spacing w:val="-3"/>
                <w:sz w:val="17"/>
              </w:rPr>
              <w:t>regard </w:t>
            </w:r>
            <w:r>
              <w:rPr>
                <w:color w:val="58595B"/>
                <w:sz w:val="17"/>
              </w:rPr>
              <w:t>de son </w:t>
            </w:r>
            <w:r>
              <w:rPr>
                <w:color w:val="58595B"/>
                <w:spacing w:val="-3"/>
                <w:sz w:val="17"/>
              </w:rPr>
              <w:t>niveau </w:t>
            </w:r>
            <w:r>
              <w:rPr>
                <w:color w:val="58595B"/>
                <w:sz w:val="17"/>
              </w:rPr>
              <w:t>de </w:t>
            </w:r>
            <w:r>
              <w:rPr>
                <w:color w:val="58595B"/>
                <w:spacing w:val="-3"/>
                <w:sz w:val="17"/>
              </w:rPr>
              <w:t>richesse. </w:t>
            </w:r>
            <w:r>
              <w:rPr>
                <w:color w:val="58595B"/>
                <w:sz w:val="17"/>
              </w:rPr>
              <w:t>Cet </w:t>
            </w:r>
            <w:r>
              <w:rPr>
                <w:color w:val="58595B"/>
                <w:spacing w:val="-3"/>
                <w:sz w:val="17"/>
              </w:rPr>
              <w:t>indicateur </w:t>
            </w:r>
            <w:r>
              <w:rPr>
                <w:color w:val="58595B"/>
                <w:sz w:val="17"/>
              </w:rPr>
              <w:t>est </w:t>
            </w:r>
            <w:r>
              <w:rPr>
                <w:color w:val="58595B"/>
                <w:spacing w:val="-3"/>
                <w:sz w:val="17"/>
              </w:rPr>
              <w:t>calculé </w:t>
            </w:r>
            <w:r>
              <w:rPr>
                <w:color w:val="58595B"/>
                <w:sz w:val="17"/>
              </w:rPr>
              <w:t>en </w:t>
            </w:r>
            <w:r>
              <w:rPr>
                <w:color w:val="58595B"/>
                <w:spacing w:val="-3"/>
                <w:sz w:val="17"/>
              </w:rPr>
              <w:t>rapportant </w:t>
            </w:r>
            <w:r>
              <w:rPr>
                <w:color w:val="58595B"/>
                <w:sz w:val="17"/>
              </w:rPr>
              <w:t>les </w:t>
            </w:r>
            <w:r>
              <w:rPr>
                <w:color w:val="58595B"/>
                <w:spacing w:val="-3"/>
                <w:sz w:val="17"/>
              </w:rPr>
              <w:t>dépenses publiques consacrées </w:t>
            </w:r>
            <w:r>
              <w:rPr>
                <w:color w:val="58595B"/>
                <w:sz w:val="17"/>
              </w:rPr>
              <w:t>à </w:t>
            </w:r>
            <w:r>
              <w:rPr>
                <w:color w:val="58595B"/>
                <w:spacing w:val="-3"/>
                <w:sz w:val="17"/>
              </w:rPr>
              <w:t>l’EPE </w:t>
            </w:r>
            <w:r>
              <w:rPr>
                <w:color w:val="58595B"/>
                <w:sz w:val="17"/>
              </w:rPr>
              <w:t>au</w:t>
            </w:r>
            <w:r>
              <w:rPr>
                <w:color w:val="58595B"/>
                <w:spacing w:val="-7"/>
                <w:sz w:val="17"/>
              </w:rPr>
              <w:t> </w:t>
            </w:r>
            <w:r>
              <w:rPr>
                <w:color w:val="58595B"/>
                <w:sz w:val="17"/>
              </w:rPr>
              <w:t>total</w:t>
            </w:r>
            <w:r>
              <w:rPr>
                <w:color w:val="58595B"/>
                <w:spacing w:val="-5"/>
                <w:sz w:val="17"/>
              </w:rPr>
              <w:t> </w:t>
            </w:r>
            <w:r>
              <w:rPr>
                <w:color w:val="58595B"/>
                <w:sz w:val="17"/>
              </w:rPr>
              <w:t>des</w:t>
            </w:r>
            <w:r>
              <w:rPr>
                <w:color w:val="58595B"/>
                <w:spacing w:val="-7"/>
                <w:sz w:val="17"/>
              </w:rPr>
              <w:t> </w:t>
            </w:r>
            <w:r>
              <w:rPr>
                <w:color w:val="58595B"/>
                <w:spacing w:val="-3"/>
                <w:sz w:val="17"/>
              </w:rPr>
              <w:t>dépenses</w:t>
            </w:r>
            <w:r>
              <w:rPr>
                <w:color w:val="58595B"/>
                <w:spacing w:val="-6"/>
                <w:sz w:val="17"/>
              </w:rPr>
              <w:t> </w:t>
            </w:r>
            <w:r>
              <w:rPr>
                <w:color w:val="58595B"/>
                <w:spacing w:val="-3"/>
                <w:sz w:val="17"/>
              </w:rPr>
              <w:t>publiques</w:t>
            </w:r>
            <w:r>
              <w:rPr>
                <w:color w:val="58595B"/>
                <w:spacing w:val="-6"/>
                <w:sz w:val="17"/>
              </w:rPr>
              <w:t> </w:t>
            </w:r>
            <w:r>
              <w:rPr>
                <w:color w:val="58595B"/>
                <w:spacing w:val="-3"/>
                <w:sz w:val="17"/>
              </w:rPr>
              <w:t>exprimé</w:t>
            </w:r>
            <w:r>
              <w:rPr>
                <w:color w:val="58595B"/>
                <w:spacing w:val="-7"/>
                <w:sz w:val="17"/>
              </w:rPr>
              <w:t> </w:t>
            </w:r>
            <w:r>
              <w:rPr>
                <w:color w:val="58595B"/>
                <w:sz w:val="17"/>
              </w:rPr>
              <w:t>en</w:t>
            </w:r>
            <w:r>
              <w:rPr>
                <w:color w:val="58595B"/>
                <w:spacing w:val="-6"/>
                <w:sz w:val="17"/>
              </w:rPr>
              <w:t> </w:t>
            </w:r>
            <w:r>
              <w:rPr>
                <w:color w:val="58595B"/>
                <w:spacing w:val="-3"/>
                <w:sz w:val="17"/>
              </w:rPr>
              <w:t>pourcentage</w:t>
            </w:r>
            <w:r>
              <w:rPr>
                <w:color w:val="58595B"/>
                <w:spacing w:val="-7"/>
                <w:sz w:val="17"/>
              </w:rPr>
              <w:t> </w:t>
            </w:r>
            <w:r>
              <w:rPr>
                <w:color w:val="58595B"/>
                <w:sz w:val="17"/>
              </w:rPr>
              <w:t>du</w:t>
            </w:r>
            <w:r>
              <w:rPr>
                <w:color w:val="58595B"/>
                <w:spacing w:val="-6"/>
                <w:sz w:val="17"/>
              </w:rPr>
              <w:t> </w:t>
            </w:r>
            <w:r>
              <w:rPr>
                <w:color w:val="58595B"/>
                <w:sz w:val="17"/>
              </w:rPr>
              <w:t>PIB</w:t>
            </w:r>
            <w:r>
              <w:rPr>
                <w:color w:val="58595B"/>
                <w:spacing w:val="-6"/>
                <w:sz w:val="17"/>
              </w:rPr>
              <w:t> </w:t>
            </w:r>
            <w:r>
              <w:rPr>
                <w:color w:val="58595B"/>
                <w:sz w:val="17"/>
              </w:rPr>
              <w:t>;</w:t>
            </w:r>
            <w:r>
              <w:rPr>
                <w:color w:val="58595B"/>
                <w:spacing w:val="-6"/>
                <w:sz w:val="17"/>
              </w:rPr>
              <w:t> </w:t>
            </w:r>
            <w:r>
              <w:rPr>
                <w:color w:val="58595B"/>
                <w:spacing w:val="-3"/>
                <w:sz w:val="17"/>
              </w:rPr>
              <w:t>il </w:t>
            </w:r>
            <w:r>
              <w:rPr>
                <w:color w:val="58595B"/>
                <w:sz w:val="17"/>
              </w:rPr>
              <w:t>est </w:t>
            </w:r>
            <w:r>
              <w:rPr>
                <w:color w:val="58595B"/>
                <w:spacing w:val="-3"/>
                <w:sz w:val="17"/>
              </w:rPr>
              <w:t>essentiellement utilisé </w:t>
            </w:r>
            <w:r>
              <w:rPr>
                <w:color w:val="58595B"/>
                <w:sz w:val="17"/>
              </w:rPr>
              <w:t>à des fins de </w:t>
            </w:r>
            <w:r>
              <w:rPr>
                <w:color w:val="58595B"/>
                <w:spacing w:val="-3"/>
                <w:sz w:val="17"/>
              </w:rPr>
              <w:t>comparaison internationale. </w:t>
            </w:r>
            <w:r>
              <w:rPr>
                <w:color w:val="58595B"/>
                <w:sz w:val="17"/>
              </w:rPr>
              <w:t>Il est fonction du </w:t>
            </w:r>
            <w:r>
              <w:rPr>
                <w:color w:val="58595B"/>
                <w:spacing w:val="-3"/>
                <w:sz w:val="17"/>
              </w:rPr>
              <w:t>ratio</w:t>
            </w:r>
            <w:r>
              <w:rPr>
                <w:color w:val="58595B"/>
                <w:spacing w:val="-25"/>
                <w:sz w:val="17"/>
              </w:rPr>
              <w:t> </w:t>
            </w:r>
            <w:r>
              <w:rPr>
                <w:color w:val="58595B"/>
                <w:spacing w:val="-3"/>
                <w:sz w:val="17"/>
              </w:rPr>
              <w:t>impôts/PIB.</w:t>
            </w:r>
          </w:p>
        </w:tc>
      </w:tr>
      <w:tr>
        <w:trPr>
          <w:trHeight w:val="2182" w:hRule="atLeast"/>
        </w:trPr>
        <w:tc>
          <w:tcPr>
            <w:tcW w:w="1927" w:type="dxa"/>
            <w:vMerge w:val="restart"/>
            <w:tcBorders>
              <w:top w:val="single" w:sz="8" w:space="0" w:color="FFFFFF"/>
              <w:left w:val="single" w:sz="8" w:space="0" w:color="FFFFFF"/>
              <w:bottom w:val="single" w:sz="8" w:space="0" w:color="FFFFFF"/>
              <w:right w:val="single" w:sz="8" w:space="0" w:color="FFFFFF"/>
            </w:tcBorders>
            <w:shd w:val="clear" w:color="auto" w:fill="F0F7E8"/>
          </w:tcPr>
          <w:p>
            <w:pPr>
              <w:pStyle w:val="TableParagraph"/>
              <w:spacing w:before="10"/>
              <w:rPr>
                <w:sz w:val="13"/>
              </w:rPr>
            </w:pPr>
          </w:p>
          <w:p>
            <w:pPr>
              <w:pStyle w:val="TableParagraph"/>
              <w:spacing w:line="210" w:lineRule="exact"/>
              <w:ind w:left="170"/>
              <w:rPr>
                <w:sz w:val="20"/>
              </w:rPr>
            </w:pPr>
            <w:r>
              <w:rPr>
                <w:position w:val="-3"/>
                <w:sz w:val="20"/>
              </w:rPr>
              <w:drawing>
                <wp:inline distT="0" distB="0" distL="0" distR="0">
                  <wp:extent cx="976635" cy="133350"/>
                  <wp:effectExtent l="0" t="0" r="0" b="0"/>
                  <wp:docPr id="15" name="image8.png" descr=""/>
                  <wp:cNvGraphicFramePr>
                    <a:graphicFrameLocks noChangeAspect="1"/>
                  </wp:cNvGraphicFramePr>
                  <a:graphic>
                    <a:graphicData uri="http://schemas.openxmlformats.org/drawingml/2006/picture">
                      <pic:pic>
                        <pic:nvPicPr>
                          <pic:cNvPr id="16" name="image8.png"/>
                          <pic:cNvPicPr/>
                        </pic:nvPicPr>
                        <pic:blipFill>
                          <a:blip r:embed="rId15" cstate="print"/>
                          <a:stretch>
                            <a:fillRect/>
                          </a:stretch>
                        </pic:blipFill>
                        <pic:spPr>
                          <a:xfrm>
                            <a:off x="0" y="0"/>
                            <a:ext cx="976635" cy="133350"/>
                          </a:xfrm>
                          <a:prstGeom prst="rect">
                            <a:avLst/>
                          </a:prstGeom>
                        </pic:spPr>
                      </pic:pic>
                    </a:graphicData>
                  </a:graphic>
                </wp:inline>
              </w:drawing>
            </w:r>
            <w:r>
              <w:rPr>
                <w:position w:val="-3"/>
                <w:sz w:val="20"/>
              </w:rPr>
            </w:r>
          </w:p>
          <w:p>
            <w:pPr>
              <w:pStyle w:val="TableParagraph"/>
              <w:spacing w:line="249" w:lineRule="auto" w:before="54"/>
              <w:ind w:left="170" w:right="83"/>
              <w:rPr>
                <w:b/>
                <w:sz w:val="20"/>
              </w:rPr>
            </w:pPr>
            <w:r>
              <w:rPr>
                <w:b/>
                <w:color w:val="58595B"/>
                <w:sz w:val="20"/>
              </w:rPr>
              <w:t>Taux d’exécution du budget consacré à l’EPE</w:t>
            </w:r>
          </w:p>
        </w:tc>
        <w:tc>
          <w:tcPr>
            <w:tcW w:w="1754" w:type="dxa"/>
            <w:tcBorders>
              <w:top w:val="single" w:sz="8" w:space="0" w:color="FFFFFF"/>
              <w:left w:val="single" w:sz="8" w:space="0" w:color="FFFFFF"/>
              <w:bottom w:val="single" w:sz="8" w:space="0" w:color="FFFFFF"/>
              <w:right w:val="single" w:sz="8" w:space="0" w:color="FFFFFF"/>
            </w:tcBorders>
            <w:shd w:val="clear" w:color="auto" w:fill="F0F7E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5"/>
              <w:rPr>
                <w:sz w:val="14"/>
              </w:rPr>
            </w:pPr>
          </w:p>
          <w:p>
            <w:pPr>
              <w:pStyle w:val="TableParagraph"/>
              <w:ind w:left="140" w:right="154"/>
              <w:jc w:val="center"/>
              <w:rPr>
                <w:sz w:val="17"/>
              </w:rPr>
            </w:pPr>
            <w:r>
              <w:rPr>
                <w:color w:val="58595B"/>
                <w:sz w:val="17"/>
              </w:rPr>
              <w:t>(dépenses totales)</w:t>
            </w:r>
          </w:p>
        </w:tc>
        <w:tc>
          <w:tcPr>
            <w:tcW w:w="3196" w:type="dxa"/>
            <w:vMerge w:val="restart"/>
            <w:tcBorders>
              <w:top w:val="single" w:sz="8" w:space="0" w:color="FFFFFF"/>
              <w:left w:val="single" w:sz="8" w:space="0" w:color="FFFFFF"/>
              <w:bottom w:val="single" w:sz="8" w:space="0" w:color="FFFFFF"/>
              <w:right w:val="single" w:sz="8" w:space="0" w:color="FFFFFF"/>
            </w:tcBorders>
            <w:shd w:val="clear" w:color="auto" w:fill="F0F7E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10"/>
              <w:rPr>
                <w:sz w:val="16"/>
              </w:rPr>
            </w:pPr>
          </w:p>
          <w:p>
            <w:pPr>
              <w:pStyle w:val="TableParagraph"/>
              <w:spacing w:line="398" w:lineRule="auto" w:before="1"/>
              <w:ind w:left="442" w:right="110" w:hanging="231"/>
              <w:rPr>
                <w:sz w:val="17"/>
              </w:rPr>
            </w:pPr>
            <w:r>
              <w:rPr>
                <w:color w:val="58595B"/>
                <w:sz w:val="17"/>
                <w:u w:val="single" w:color="000000"/>
              </w:rPr>
              <w:t>Dépenses réelles consacrées à l’EPE</w:t>
            </w:r>
            <w:r>
              <w:rPr>
                <w:color w:val="58595B"/>
                <w:sz w:val="17"/>
              </w:rPr>
              <w:t> Budget voté en faveur de l’EPE</w:t>
            </w:r>
          </w:p>
        </w:tc>
        <w:tc>
          <w:tcPr>
            <w:tcW w:w="2177" w:type="dxa"/>
            <w:vMerge w:val="restart"/>
            <w:tcBorders>
              <w:top w:val="single" w:sz="8" w:space="0" w:color="FFFFFF"/>
              <w:left w:val="single" w:sz="8" w:space="0" w:color="FFFFFF"/>
              <w:bottom w:val="single" w:sz="8" w:space="0" w:color="FFFFFF"/>
              <w:right w:val="single" w:sz="8" w:space="0" w:color="FFFFFF"/>
            </w:tcBorders>
            <w:shd w:val="clear" w:color="auto" w:fill="F0F7E8"/>
          </w:tcPr>
          <w:p>
            <w:pPr>
              <w:pStyle w:val="TableParagraph"/>
              <w:spacing w:line="295" w:lineRule="auto" w:before="124"/>
              <w:ind w:left="169" w:right="182"/>
              <w:rPr>
                <w:sz w:val="17"/>
              </w:rPr>
            </w:pPr>
            <w:r>
              <w:rPr>
                <w:color w:val="58595B"/>
                <w:sz w:val="17"/>
              </w:rPr>
              <w:t>Direction financière du ministère de l’éducation</w:t>
            </w:r>
          </w:p>
          <w:p>
            <w:pPr>
              <w:pStyle w:val="TableParagraph"/>
              <w:spacing w:before="113"/>
              <w:ind w:left="169"/>
              <w:rPr>
                <w:i/>
                <w:sz w:val="17"/>
              </w:rPr>
            </w:pPr>
            <w:r>
              <w:rPr>
                <w:i/>
                <w:color w:val="58595B"/>
                <w:sz w:val="17"/>
              </w:rPr>
              <w:t>et/ou</w:t>
            </w:r>
          </w:p>
          <w:p>
            <w:pPr>
              <w:pStyle w:val="TableParagraph"/>
              <w:spacing w:line="295" w:lineRule="auto" w:before="157"/>
              <w:ind w:left="169" w:right="182"/>
              <w:rPr>
                <w:sz w:val="17"/>
              </w:rPr>
            </w:pPr>
            <w:r>
              <w:rPr>
                <w:color w:val="58595B"/>
                <w:sz w:val="17"/>
              </w:rPr>
              <w:t>Ministère des finances/du budget</w:t>
            </w:r>
          </w:p>
        </w:tc>
        <w:tc>
          <w:tcPr>
            <w:tcW w:w="5345" w:type="dxa"/>
            <w:vMerge w:val="restart"/>
            <w:tcBorders>
              <w:top w:val="single" w:sz="8" w:space="0" w:color="FFFFFF"/>
              <w:left w:val="single" w:sz="8" w:space="0" w:color="FFFFFF"/>
              <w:bottom w:val="single" w:sz="8" w:space="0" w:color="FFFFFF"/>
              <w:right w:val="single" w:sz="8" w:space="0" w:color="FFFFFF"/>
            </w:tcBorders>
            <w:shd w:val="clear" w:color="auto" w:fill="F0F7E8"/>
          </w:tcPr>
          <w:p>
            <w:pPr>
              <w:pStyle w:val="TableParagraph"/>
              <w:spacing w:line="295" w:lineRule="auto" w:before="124"/>
              <w:ind w:left="169" w:right="240"/>
              <w:rPr>
                <w:sz w:val="17"/>
              </w:rPr>
            </w:pPr>
            <w:r>
              <w:rPr>
                <w:color w:val="58595B"/>
                <w:sz w:val="17"/>
              </w:rPr>
              <w:t>Le taux d’exécution du budget consacré à l’EPE (montant réellement dépensé par rapport au budget alloué/voté) renseigne sur la capacité de mise en œuvre du sous-secteur. Si le budget n’est pas exécuté, il est probable que l’augmentation des financements n’améliore pas les résultats ; il est donc préférable d’utiliser adéquatement les ressources disponibles.</w:t>
            </w:r>
          </w:p>
          <w:p>
            <w:pPr>
              <w:pStyle w:val="TableParagraph"/>
              <w:spacing w:line="295" w:lineRule="auto" w:before="111"/>
              <w:ind w:left="169" w:right="136"/>
              <w:rPr>
                <w:sz w:val="17"/>
              </w:rPr>
            </w:pPr>
            <w:r>
              <w:rPr>
                <w:color w:val="58595B"/>
                <w:sz w:val="17"/>
              </w:rPr>
              <w:t>Le taux d’exécution du budget courant est généralement supérieur à celui du budget d’investissement, car il est essentiellement affecté à la rémunération du personnel. Une sous-utilisation des ressources est toujours possible, par exemple en cas de retard dans la mise en place de programmes de formation ou lorsque</w:t>
            </w:r>
          </w:p>
          <w:p>
            <w:pPr>
              <w:pStyle w:val="TableParagraph"/>
              <w:spacing w:line="295" w:lineRule="auto"/>
              <w:ind w:left="169" w:right="202"/>
              <w:rPr>
                <w:sz w:val="17"/>
              </w:rPr>
            </w:pPr>
            <w:r>
              <w:rPr>
                <w:color w:val="58595B"/>
                <w:sz w:val="17"/>
              </w:rPr>
              <w:t>le cadre politique ou les programmes scolaires ne sont pas prêts à être mis en œuvre. L’utilisation du budget d’investissement suppose des capacités en matière d’achats, de mise en œuvre, etc. En général, les postes concernés par une sous-utilisation des ressources sont la construction de classes ou d’infrastructures ainsi que l’achat et la distribution de supports</w:t>
            </w:r>
            <w:r>
              <w:rPr>
                <w:color w:val="58595B"/>
                <w:spacing w:val="-30"/>
                <w:sz w:val="17"/>
              </w:rPr>
              <w:t> </w:t>
            </w:r>
            <w:r>
              <w:rPr>
                <w:color w:val="58595B"/>
                <w:sz w:val="17"/>
              </w:rPr>
              <w:t>d’apprentissage.</w:t>
            </w:r>
          </w:p>
          <w:p>
            <w:pPr>
              <w:pStyle w:val="TableParagraph"/>
              <w:spacing w:line="295" w:lineRule="auto" w:before="108"/>
              <w:ind w:left="169" w:right="637"/>
              <w:rPr>
                <w:sz w:val="17"/>
              </w:rPr>
            </w:pPr>
            <w:r>
              <w:rPr>
                <w:color w:val="58595B"/>
                <w:sz w:val="17"/>
              </w:rPr>
              <w:t>Il convient de noter que le taux d’exécution peut parfois être supérieur à 100 % en cas de dépassement du budget.</w:t>
            </w:r>
          </w:p>
          <w:p>
            <w:pPr>
              <w:pStyle w:val="TableParagraph"/>
              <w:spacing w:line="199" w:lineRule="exact"/>
              <w:ind w:left="169"/>
              <w:rPr>
                <w:sz w:val="17"/>
              </w:rPr>
            </w:pPr>
            <w:r>
              <w:rPr>
                <w:color w:val="58595B"/>
                <w:sz w:val="17"/>
              </w:rPr>
              <w:t>( </w:t>
            </w:r>
            <w:r>
              <w:rPr>
                <w:color w:val="58595B"/>
                <w:spacing w:val="-1"/>
                <w:position w:val="-3"/>
                <w:sz w:val="17"/>
              </w:rPr>
              <w:drawing>
                <wp:inline distT="0" distB="0" distL="0" distR="0">
                  <wp:extent cx="527977" cy="139026"/>
                  <wp:effectExtent l="0" t="0" r="0" b="0"/>
                  <wp:docPr id="17" name="image9.png" descr=""/>
                  <wp:cNvGraphicFramePr>
                    <a:graphicFrameLocks noChangeAspect="1"/>
                  </wp:cNvGraphicFramePr>
                  <a:graphic>
                    <a:graphicData uri="http://schemas.openxmlformats.org/drawingml/2006/picture">
                      <pic:pic>
                        <pic:nvPicPr>
                          <pic:cNvPr id="18" name="image9.png"/>
                          <pic:cNvPicPr/>
                        </pic:nvPicPr>
                        <pic:blipFill>
                          <a:blip r:embed="rId16" cstate="print"/>
                          <a:stretch>
                            <a:fillRect/>
                          </a:stretch>
                        </pic:blipFill>
                        <pic:spPr>
                          <a:xfrm>
                            <a:off x="0" y="0"/>
                            <a:ext cx="527977" cy="139026"/>
                          </a:xfrm>
                          <a:prstGeom prst="rect">
                            <a:avLst/>
                          </a:prstGeom>
                        </pic:spPr>
                      </pic:pic>
                    </a:graphicData>
                  </a:graphic>
                </wp:inline>
              </w:drawing>
            </w:r>
            <w:r>
              <w:rPr>
                <w:color w:val="58595B"/>
                <w:spacing w:val="-1"/>
                <w:position w:val="-3"/>
                <w:sz w:val="17"/>
              </w:rPr>
            </w:r>
            <w:r>
              <w:rPr>
                <w:rFonts w:ascii="Times New Roman" w:hAnsi="Times New Roman"/>
                <w:color w:val="58595B"/>
                <w:spacing w:val="5"/>
                <w:sz w:val="17"/>
              </w:rPr>
              <w:t> </w:t>
            </w:r>
            <w:r>
              <w:rPr>
                <w:color w:val="58595B"/>
                <w:sz w:val="17"/>
              </w:rPr>
              <w:t>Il s’agit généralement de dépenses courantes,</w:t>
            </w:r>
            <w:r>
              <w:rPr>
                <w:color w:val="58595B"/>
                <w:spacing w:val="-12"/>
                <w:sz w:val="17"/>
              </w:rPr>
              <w:t> </w:t>
            </w:r>
            <w:r>
              <w:rPr>
                <w:color w:val="58595B"/>
                <w:sz w:val="17"/>
              </w:rPr>
              <w:t>par</w:t>
            </w:r>
          </w:p>
          <w:p>
            <w:pPr>
              <w:pStyle w:val="TableParagraph"/>
              <w:spacing w:line="295" w:lineRule="auto" w:before="41"/>
              <w:ind w:left="169" w:right="307"/>
              <w:rPr>
                <w:sz w:val="17"/>
              </w:rPr>
            </w:pPr>
            <w:r>
              <w:rPr>
                <w:color w:val="58595B"/>
                <w:sz w:val="17"/>
              </w:rPr>
              <w:t>exemple en cas de recrutement d’enseignants contractuels pour pallier une pénurie d’enseignants titulaires.) Un taux d’exécution supérieur à 100 % pendant plusieurs années indique que le budget de certaines activités a été sous-évalué et appelle généralement une meilleure planification.</w:t>
            </w:r>
          </w:p>
        </w:tc>
      </w:tr>
      <w:tr>
        <w:trPr>
          <w:trHeight w:val="2492" w:hRule="atLeast"/>
        </w:trPr>
        <w:tc>
          <w:tcPr>
            <w:tcW w:w="1927"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1754" w:type="dxa"/>
            <w:tcBorders>
              <w:top w:val="single" w:sz="8" w:space="0" w:color="FFFFFF"/>
              <w:left w:val="single" w:sz="8" w:space="0" w:color="FFFFFF"/>
              <w:bottom w:val="single" w:sz="8" w:space="0" w:color="FFFFFF"/>
              <w:right w:val="single" w:sz="8" w:space="0" w:color="FFFFFF"/>
            </w:tcBorders>
            <w:shd w:val="clear" w:color="auto" w:fill="F0F7E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5"/>
              <w:rPr>
                <w:sz w:val="17"/>
              </w:rPr>
            </w:pPr>
          </w:p>
          <w:p>
            <w:pPr>
              <w:pStyle w:val="TableParagraph"/>
              <w:ind w:left="177"/>
              <w:rPr>
                <w:sz w:val="17"/>
              </w:rPr>
            </w:pPr>
            <w:r>
              <w:rPr>
                <w:color w:val="58595B"/>
                <w:spacing w:val="-3"/>
                <w:sz w:val="17"/>
              </w:rPr>
              <w:t>Dépenses</w:t>
            </w:r>
          </w:p>
          <w:p>
            <w:pPr>
              <w:pStyle w:val="TableParagraph"/>
              <w:spacing w:before="44"/>
              <w:ind w:left="177"/>
              <w:rPr>
                <w:sz w:val="17"/>
              </w:rPr>
            </w:pPr>
            <w:r>
              <w:rPr>
                <w:color w:val="58595B"/>
                <w:spacing w:val="-3"/>
                <w:sz w:val="17"/>
              </w:rPr>
              <w:t>courantes</w:t>
            </w:r>
          </w:p>
        </w:tc>
        <w:tc>
          <w:tcPr>
            <w:tcW w:w="3196"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2177"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5345"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r>
      <w:tr>
        <w:trPr>
          <w:trHeight w:val="1995" w:hRule="atLeast"/>
        </w:trPr>
        <w:tc>
          <w:tcPr>
            <w:tcW w:w="1927"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1754" w:type="dxa"/>
            <w:tcBorders>
              <w:top w:val="single" w:sz="8" w:space="0" w:color="FFFFFF"/>
              <w:left w:val="single" w:sz="8" w:space="0" w:color="FFFFFF"/>
              <w:bottom w:val="single" w:sz="8" w:space="0" w:color="FFFFFF"/>
              <w:right w:val="single" w:sz="8" w:space="0" w:color="FFFFFF"/>
            </w:tcBorders>
            <w:shd w:val="clear" w:color="auto" w:fill="F0F7E8"/>
          </w:tcPr>
          <w:p>
            <w:pPr>
              <w:pStyle w:val="TableParagraph"/>
              <w:rPr>
                <w:sz w:val="18"/>
              </w:rPr>
            </w:pPr>
          </w:p>
          <w:p>
            <w:pPr>
              <w:pStyle w:val="TableParagraph"/>
              <w:rPr>
                <w:sz w:val="18"/>
              </w:rPr>
            </w:pPr>
          </w:p>
          <w:p>
            <w:pPr>
              <w:pStyle w:val="TableParagraph"/>
              <w:rPr>
                <w:sz w:val="18"/>
              </w:rPr>
            </w:pPr>
          </w:p>
          <w:p>
            <w:pPr>
              <w:pStyle w:val="TableParagraph"/>
              <w:spacing w:line="295" w:lineRule="auto" w:before="156"/>
              <w:ind w:left="177"/>
              <w:rPr>
                <w:sz w:val="10"/>
              </w:rPr>
            </w:pPr>
            <w:r>
              <w:rPr>
                <w:color w:val="58595B"/>
                <w:sz w:val="17"/>
              </w:rPr>
              <w:t>Dépenses d’investissement</w:t>
            </w:r>
            <w:r>
              <w:rPr>
                <w:color w:val="58595B"/>
                <w:position w:val="6"/>
                <w:sz w:val="10"/>
              </w:rPr>
              <w:t>1</w:t>
            </w:r>
          </w:p>
        </w:tc>
        <w:tc>
          <w:tcPr>
            <w:tcW w:w="3196"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2177"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c>
          <w:tcPr>
            <w:tcW w:w="5345" w:type="dxa"/>
            <w:vMerge/>
            <w:tcBorders>
              <w:top w:val="nil"/>
              <w:left w:val="single" w:sz="8" w:space="0" w:color="FFFFFF"/>
              <w:bottom w:val="single" w:sz="8" w:space="0" w:color="FFFFFF"/>
              <w:right w:val="single" w:sz="8" w:space="0" w:color="FFFFFF"/>
            </w:tcBorders>
            <w:shd w:val="clear" w:color="auto" w:fill="F0F7E8"/>
          </w:tcPr>
          <w:p>
            <w:pPr>
              <w:rPr>
                <w:sz w:val="2"/>
                <w:szCs w:val="2"/>
              </w:rPr>
            </w:pPr>
          </w:p>
        </w:tc>
      </w:tr>
    </w:tbl>
    <w:p>
      <w:pPr>
        <w:spacing w:after="0"/>
        <w:rPr>
          <w:sz w:val="2"/>
          <w:szCs w:val="2"/>
        </w:rPr>
        <w:sectPr>
          <w:headerReference w:type="default" r:id="rId12"/>
          <w:pgSz w:w="15840" w:h="12240" w:orient="landscape"/>
          <w:pgMar w:header="0" w:footer="0" w:top="400" w:bottom="280" w:left="600" w:right="340"/>
        </w:sectPr>
      </w:pPr>
    </w:p>
    <w:tbl>
      <w:tblPr>
        <w:tblW w:w="0" w:type="auto"/>
        <w:jc w:val="left"/>
        <w:tblInd w:w="27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7"/>
        <w:gridCol w:w="1752"/>
        <w:gridCol w:w="3204"/>
        <w:gridCol w:w="2165"/>
        <w:gridCol w:w="5353"/>
      </w:tblGrid>
      <w:tr>
        <w:trPr>
          <w:trHeight w:val="491" w:hRule="atLeast"/>
        </w:trPr>
        <w:tc>
          <w:tcPr>
            <w:tcW w:w="1927" w:type="dxa"/>
            <w:tcBorders>
              <w:left w:val="nil"/>
              <w:right w:val="nil"/>
            </w:tcBorders>
          </w:tcPr>
          <w:p>
            <w:pPr>
              <w:pStyle w:val="TableParagraph"/>
              <w:spacing w:before="138"/>
              <w:ind w:left="547"/>
              <w:rPr>
                <w:b/>
                <w:sz w:val="18"/>
              </w:rPr>
            </w:pPr>
            <w:r>
              <w:rPr>
                <w:b/>
                <w:color w:val="58595B"/>
                <w:sz w:val="18"/>
              </w:rPr>
              <w:t>Indicateur</w:t>
            </w:r>
          </w:p>
        </w:tc>
        <w:tc>
          <w:tcPr>
            <w:tcW w:w="1752" w:type="dxa"/>
            <w:tcBorders>
              <w:left w:val="nil"/>
              <w:right w:val="nil"/>
            </w:tcBorders>
          </w:tcPr>
          <w:p>
            <w:pPr>
              <w:pStyle w:val="TableParagraph"/>
              <w:spacing w:before="138"/>
              <w:ind w:left="486"/>
              <w:rPr>
                <w:b/>
                <w:sz w:val="18"/>
              </w:rPr>
            </w:pPr>
            <w:r>
              <w:rPr>
                <w:b/>
                <w:color w:val="58595B"/>
                <w:sz w:val="18"/>
              </w:rPr>
              <w:t>Variantes</w:t>
            </w:r>
          </w:p>
        </w:tc>
        <w:tc>
          <w:tcPr>
            <w:tcW w:w="3204" w:type="dxa"/>
            <w:tcBorders>
              <w:left w:val="nil"/>
              <w:right w:val="nil"/>
            </w:tcBorders>
          </w:tcPr>
          <w:p>
            <w:pPr>
              <w:pStyle w:val="TableParagraph"/>
              <w:spacing w:before="138"/>
              <w:ind w:left="1171" w:right="1163"/>
              <w:jc w:val="center"/>
              <w:rPr>
                <w:b/>
                <w:sz w:val="18"/>
              </w:rPr>
            </w:pPr>
            <w:r>
              <w:rPr>
                <w:b/>
                <w:color w:val="58595B"/>
                <w:sz w:val="18"/>
              </w:rPr>
              <w:t>Définition</w:t>
            </w:r>
          </w:p>
        </w:tc>
        <w:tc>
          <w:tcPr>
            <w:tcW w:w="2165" w:type="dxa"/>
            <w:tcBorders>
              <w:left w:val="nil"/>
              <w:right w:val="nil"/>
            </w:tcBorders>
          </w:tcPr>
          <w:p>
            <w:pPr>
              <w:pStyle w:val="TableParagraph"/>
              <w:spacing w:line="232" w:lineRule="auto" w:before="44"/>
              <w:ind w:left="137" w:right="97" w:firstLine="409"/>
              <w:rPr>
                <w:b/>
                <w:sz w:val="18"/>
              </w:rPr>
            </w:pPr>
            <w:r>
              <w:rPr>
                <w:b/>
                <w:color w:val="58595B"/>
                <w:sz w:val="18"/>
              </w:rPr>
              <w:t>Source(s) de données potentielle(s)</w:t>
            </w:r>
          </w:p>
        </w:tc>
        <w:tc>
          <w:tcPr>
            <w:tcW w:w="5353" w:type="dxa"/>
            <w:tcBorders>
              <w:left w:val="nil"/>
              <w:right w:val="nil"/>
            </w:tcBorders>
          </w:tcPr>
          <w:p>
            <w:pPr>
              <w:pStyle w:val="TableParagraph"/>
              <w:spacing w:before="138"/>
              <w:ind w:left="2092" w:right="2069"/>
              <w:jc w:val="center"/>
              <w:rPr>
                <w:b/>
                <w:sz w:val="18"/>
              </w:rPr>
            </w:pPr>
            <w:r>
              <w:rPr>
                <w:b/>
                <w:color w:val="58595B"/>
                <w:sz w:val="18"/>
              </w:rPr>
              <w:t>Observations</w:t>
            </w:r>
          </w:p>
        </w:tc>
      </w:tr>
      <w:tr>
        <w:trPr>
          <w:trHeight w:val="5622" w:hRule="atLeast"/>
        </w:trPr>
        <w:tc>
          <w:tcPr>
            <w:tcW w:w="1927" w:type="dxa"/>
            <w:vMerge w:val="restart"/>
            <w:tcBorders>
              <w:left w:val="single" w:sz="8" w:space="0" w:color="FFFFFF"/>
              <w:bottom w:val="single" w:sz="8" w:space="0" w:color="FFFFFF"/>
              <w:right w:val="single" w:sz="8" w:space="0" w:color="FFFFFF"/>
            </w:tcBorders>
            <w:shd w:val="clear" w:color="auto" w:fill="FEEDD2"/>
          </w:tcPr>
          <w:p>
            <w:pPr>
              <w:pStyle w:val="TableParagraph"/>
              <w:spacing w:before="5"/>
              <w:rPr>
                <w:sz w:val="13"/>
              </w:rPr>
            </w:pPr>
          </w:p>
          <w:p>
            <w:pPr>
              <w:pStyle w:val="TableParagraph"/>
              <w:spacing w:line="210" w:lineRule="exact"/>
              <w:ind w:left="170"/>
              <w:rPr>
                <w:sz w:val="20"/>
              </w:rPr>
            </w:pPr>
            <w:r>
              <w:rPr>
                <w:position w:val="-3"/>
                <w:sz w:val="20"/>
              </w:rPr>
              <w:drawing>
                <wp:inline distT="0" distB="0" distL="0" distR="0">
                  <wp:extent cx="848808" cy="133350"/>
                  <wp:effectExtent l="0" t="0" r="0" b="0"/>
                  <wp:docPr id="19" name="image10.png" descr=""/>
                  <wp:cNvGraphicFramePr>
                    <a:graphicFrameLocks noChangeAspect="1"/>
                  </wp:cNvGraphicFramePr>
                  <a:graphic>
                    <a:graphicData uri="http://schemas.openxmlformats.org/drawingml/2006/picture">
                      <pic:pic>
                        <pic:nvPicPr>
                          <pic:cNvPr id="20" name="image10.png"/>
                          <pic:cNvPicPr/>
                        </pic:nvPicPr>
                        <pic:blipFill>
                          <a:blip r:embed="rId18" cstate="print"/>
                          <a:stretch>
                            <a:fillRect/>
                          </a:stretch>
                        </pic:blipFill>
                        <pic:spPr>
                          <a:xfrm>
                            <a:off x="0" y="0"/>
                            <a:ext cx="848808" cy="133350"/>
                          </a:xfrm>
                          <a:prstGeom prst="rect">
                            <a:avLst/>
                          </a:prstGeom>
                        </pic:spPr>
                      </pic:pic>
                    </a:graphicData>
                  </a:graphic>
                </wp:inline>
              </w:drawing>
            </w:r>
            <w:r>
              <w:rPr>
                <w:position w:val="-3"/>
                <w:sz w:val="20"/>
              </w:rPr>
            </w:r>
          </w:p>
          <w:p>
            <w:pPr>
              <w:pStyle w:val="TableParagraph"/>
              <w:spacing w:line="249" w:lineRule="auto" w:before="54"/>
              <w:ind w:left="170" w:right="272"/>
              <w:rPr>
                <w:b/>
                <w:sz w:val="20"/>
              </w:rPr>
            </w:pPr>
            <w:r>
              <w:rPr>
                <w:b/>
                <w:color w:val="58595B"/>
                <w:sz w:val="20"/>
              </w:rPr>
              <w:t>Coût unitaire public de l’EPE</w:t>
            </w:r>
          </w:p>
        </w:tc>
        <w:tc>
          <w:tcPr>
            <w:tcW w:w="1752"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3204" w:type="dxa"/>
            <w:vMerge w:val="restart"/>
            <w:tcBorders>
              <w:left w:val="single" w:sz="8" w:space="0" w:color="FFFFFF"/>
              <w:bottom w:val="single" w:sz="8" w:space="0" w:color="FFFFFF"/>
              <w:right w:val="single" w:sz="8" w:space="0" w:color="FFFFFF"/>
            </w:tcBorders>
            <w:shd w:val="clear" w:color="auto" w:fill="FEEDD2"/>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7"/>
              <w:rPr>
                <w:sz w:val="15"/>
              </w:rPr>
            </w:pPr>
          </w:p>
          <w:p>
            <w:pPr>
              <w:pStyle w:val="TableParagraph"/>
              <w:spacing w:line="271" w:lineRule="auto" w:after="87"/>
              <w:ind w:left="1317" w:right="268" w:hanging="879"/>
              <w:rPr>
                <w:sz w:val="17"/>
              </w:rPr>
            </w:pPr>
            <w:r>
              <w:rPr>
                <w:color w:val="58595B"/>
                <w:sz w:val="17"/>
              </w:rPr>
              <w:t>Dépenses publiques consacrées à l’EPE</w:t>
            </w:r>
          </w:p>
          <w:p>
            <w:pPr>
              <w:pStyle w:val="TableParagraph"/>
              <w:spacing w:line="20" w:lineRule="exact"/>
              <w:ind w:left="161"/>
              <w:rPr>
                <w:sz w:val="2"/>
              </w:rPr>
            </w:pPr>
            <w:r>
              <w:rPr>
                <w:sz w:val="2"/>
              </w:rPr>
              <w:pict>
                <v:group style="width:145pt;height:.25pt;mso-position-horizontal-relative:char;mso-position-vertical-relative:line" coordorigin="0,0" coordsize="2900,5">
                  <v:line style="position:absolute" from="0,3" to="2900,3" stroked="true" strokeweight=".25pt" strokecolor="#58595b">
                    <v:stroke dashstyle="solid"/>
                  </v:line>
                </v:group>
              </w:pict>
            </w:r>
            <w:r>
              <w:rPr>
                <w:sz w:val="2"/>
              </w:rPr>
            </w:r>
          </w:p>
          <w:p>
            <w:pPr>
              <w:pStyle w:val="TableParagraph"/>
              <w:spacing w:before="33"/>
              <w:ind w:left="358"/>
              <w:rPr>
                <w:sz w:val="17"/>
              </w:rPr>
            </w:pPr>
            <w:r>
              <w:rPr>
                <w:color w:val="58595B"/>
                <w:sz w:val="17"/>
              </w:rPr>
              <w:t>Nombres d’élèves dans l’EPE du</w:t>
            </w:r>
          </w:p>
          <w:p>
            <w:pPr>
              <w:pStyle w:val="TableParagraph"/>
              <w:spacing w:before="25"/>
              <w:ind w:left="1051" w:right="1043"/>
              <w:jc w:val="center"/>
              <w:rPr>
                <w:sz w:val="17"/>
              </w:rPr>
            </w:pPr>
            <w:r>
              <w:rPr>
                <w:color w:val="58595B"/>
                <w:sz w:val="17"/>
              </w:rPr>
              <w:t>secteur public</w:t>
            </w:r>
          </w:p>
        </w:tc>
        <w:tc>
          <w:tcPr>
            <w:tcW w:w="2165" w:type="dxa"/>
            <w:vMerge w:val="restart"/>
            <w:tcBorders>
              <w:left w:val="single" w:sz="8" w:space="0" w:color="FFFFFF"/>
              <w:bottom w:val="single" w:sz="8" w:space="0" w:color="FFFFFF"/>
              <w:right w:val="single" w:sz="8" w:space="0" w:color="FFFFFF"/>
            </w:tcBorders>
            <w:shd w:val="clear" w:color="auto" w:fill="FEEDD2"/>
          </w:tcPr>
          <w:p>
            <w:pPr>
              <w:pStyle w:val="TableParagraph"/>
              <w:spacing w:line="271" w:lineRule="auto" w:before="119"/>
              <w:ind w:left="163" w:right="177"/>
              <w:rPr>
                <w:sz w:val="17"/>
              </w:rPr>
            </w:pPr>
            <w:r>
              <w:rPr>
                <w:color w:val="58595B"/>
                <w:spacing w:val="-4"/>
                <w:sz w:val="17"/>
              </w:rPr>
              <w:t>Direction financière du ministère </w:t>
            </w:r>
            <w:r>
              <w:rPr>
                <w:color w:val="58595B"/>
                <w:sz w:val="17"/>
              </w:rPr>
              <w:t>de</w:t>
            </w:r>
            <w:r>
              <w:rPr>
                <w:color w:val="58595B"/>
                <w:spacing w:val="-12"/>
                <w:sz w:val="17"/>
              </w:rPr>
              <w:t> </w:t>
            </w:r>
            <w:r>
              <w:rPr>
                <w:color w:val="58595B"/>
                <w:spacing w:val="-5"/>
                <w:sz w:val="17"/>
              </w:rPr>
              <w:t>l’éducation</w:t>
            </w:r>
          </w:p>
          <w:p>
            <w:pPr>
              <w:pStyle w:val="TableParagraph"/>
              <w:spacing w:line="271" w:lineRule="auto" w:before="112"/>
              <w:ind w:left="163" w:right="177"/>
              <w:rPr>
                <w:sz w:val="17"/>
              </w:rPr>
            </w:pPr>
            <w:r>
              <w:rPr>
                <w:color w:val="58595B"/>
                <w:spacing w:val="-4"/>
                <w:sz w:val="17"/>
              </w:rPr>
              <w:t>Système d’information </w:t>
            </w:r>
            <w:r>
              <w:rPr>
                <w:color w:val="58595B"/>
                <w:spacing w:val="-3"/>
                <w:sz w:val="17"/>
              </w:rPr>
              <w:t>sur </w:t>
            </w:r>
            <w:r>
              <w:rPr>
                <w:color w:val="58595B"/>
                <w:sz w:val="17"/>
              </w:rPr>
              <w:t>la </w:t>
            </w:r>
            <w:r>
              <w:rPr>
                <w:color w:val="58595B"/>
                <w:spacing w:val="-4"/>
                <w:sz w:val="17"/>
              </w:rPr>
              <w:t>gestion des établissements d’enseignement</w:t>
            </w:r>
            <w:r>
              <w:rPr>
                <w:color w:val="58595B"/>
                <w:spacing w:val="1"/>
                <w:sz w:val="17"/>
              </w:rPr>
              <w:t> </w:t>
            </w:r>
            <w:r>
              <w:rPr>
                <w:color w:val="58595B"/>
                <w:spacing w:val="-7"/>
                <w:sz w:val="17"/>
              </w:rPr>
              <w:t>(SIGE)</w:t>
            </w:r>
          </w:p>
        </w:tc>
        <w:tc>
          <w:tcPr>
            <w:tcW w:w="5353" w:type="dxa"/>
            <w:tcBorders>
              <w:left w:val="single" w:sz="8" w:space="0" w:color="FFFFFF"/>
              <w:bottom w:val="single" w:sz="8" w:space="0" w:color="FFFFFF"/>
              <w:right w:val="single" w:sz="8" w:space="0" w:color="FFFFFF"/>
            </w:tcBorders>
            <w:shd w:val="clear" w:color="auto" w:fill="FEEDD2"/>
          </w:tcPr>
          <w:p>
            <w:pPr>
              <w:pStyle w:val="TableParagraph"/>
              <w:spacing w:line="271" w:lineRule="auto" w:before="119"/>
              <w:ind w:left="175" w:right="100"/>
              <w:rPr>
                <w:sz w:val="17"/>
              </w:rPr>
            </w:pPr>
            <w:r>
              <w:rPr>
                <w:color w:val="58595B"/>
                <w:sz w:val="17"/>
              </w:rPr>
              <w:t>Le </w:t>
            </w:r>
            <w:r>
              <w:rPr>
                <w:color w:val="58595B"/>
                <w:spacing w:val="-3"/>
                <w:sz w:val="17"/>
              </w:rPr>
              <w:t>coût </w:t>
            </w:r>
            <w:r>
              <w:rPr>
                <w:color w:val="58595B"/>
                <w:spacing w:val="-4"/>
                <w:sz w:val="17"/>
              </w:rPr>
              <w:t>unitaire (public) correspond </w:t>
            </w:r>
            <w:r>
              <w:rPr>
                <w:color w:val="58595B"/>
                <w:spacing w:val="-3"/>
                <w:sz w:val="17"/>
              </w:rPr>
              <w:t>aux </w:t>
            </w:r>
            <w:r>
              <w:rPr>
                <w:color w:val="58595B"/>
                <w:spacing w:val="-4"/>
                <w:sz w:val="17"/>
              </w:rPr>
              <w:t>dépenses publiques consacrées </w:t>
            </w:r>
            <w:r>
              <w:rPr>
                <w:color w:val="58595B"/>
                <w:sz w:val="17"/>
              </w:rPr>
              <w:t>à un </w:t>
            </w:r>
            <w:r>
              <w:rPr>
                <w:color w:val="58595B"/>
                <w:spacing w:val="-4"/>
                <w:sz w:val="17"/>
              </w:rPr>
              <w:t>enfant recevant </w:t>
            </w:r>
            <w:r>
              <w:rPr>
                <w:color w:val="58595B"/>
                <w:spacing w:val="-3"/>
                <w:sz w:val="17"/>
              </w:rPr>
              <w:t>des </w:t>
            </w:r>
            <w:r>
              <w:rPr>
                <w:color w:val="58595B"/>
                <w:spacing w:val="-4"/>
                <w:sz w:val="17"/>
              </w:rPr>
              <w:t>services d’EPE pendant une année. </w:t>
            </w:r>
            <w:r>
              <w:rPr>
                <w:color w:val="58595B"/>
                <w:sz w:val="17"/>
              </w:rPr>
              <w:t>Il </w:t>
            </w:r>
            <w:r>
              <w:rPr>
                <w:color w:val="58595B"/>
                <w:spacing w:val="-4"/>
                <w:sz w:val="17"/>
              </w:rPr>
              <w:t>permet d’effectuer </w:t>
            </w:r>
            <w:r>
              <w:rPr>
                <w:color w:val="58595B"/>
                <w:spacing w:val="-3"/>
                <w:sz w:val="17"/>
              </w:rPr>
              <w:t>des </w:t>
            </w:r>
            <w:r>
              <w:rPr>
                <w:color w:val="58595B"/>
                <w:spacing w:val="-4"/>
                <w:sz w:val="17"/>
              </w:rPr>
              <w:t>comparaisons </w:t>
            </w:r>
            <w:r>
              <w:rPr>
                <w:color w:val="58595B"/>
                <w:spacing w:val="-3"/>
                <w:sz w:val="17"/>
              </w:rPr>
              <w:t>avec les </w:t>
            </w:r>
            <w:r>
              <w:rPr>
                <w:color w:val="58595B"/>
                <w:spacing w:val="-4"/>
                <w:sz w:val="17"/>
              </w:rPr>
              <w:t>autres sous- secteurs.</w:t>
            </w:r>
          </w:p>
          <w:p>
            <w:pPr>
              <w:pStyle w:val="TableParagraph"/>
              <w:spacing w:line="271" w:lineRule="auto" w:before="110"/>
              <w:ind w:left="175" w:right="311"/>
              <w:rPr>
                <w:sz w:val="17"/>
              </w:rPr>
            </w:pPr>
            <w:r>
              <w:rPr>
                <w:color w:val="58595B"/>
                <w:sz w:val="17"/>
              </w:rPr>
              <w:t>En </w:t>
            </w:r>
            <w:r>
              <w:rPr>
                <w:color w:val="58595B"/>
                <w:spacing w:val="-3"/>
                <w:sz w:val="17"/>
              </w:rPr>
              <w:t>cas </w:t>
            </w:r>
            <w:r>
              <w:rPr>
                <w:color w:val="58595B"/>
                <w:sz w:val="17"/>
              </w:rPr>
              <w:t>de </w:t>
            </w:r>
            <w:r>
              <w:rPr>
                <w:color w:val="58595B"/>
                <w:spacing w:val="-4"/>
                <w:sz w:val="17"/>
              </w:rPr>
              <w:t>données insuffisantes, </w:t>
            </w:r>
            <w:r>
              <w:rPr>
                <w:color w:val="58595B"/>
                <w:spacing w:val="-3"/>
                <w:sz w:val="17"/>
              </w:rPr>
              <w:t>cet </w:t>
            </w:r>
            <w:r>
              <w:rPr>
                <w:color w:val="58595B"/>
                <w:spacing w:val="-4"/>
                <w:sz w:val="17"/>
              </w:rPr>
              <w:t>indicateur permet également d’établir simplement </w:t>
            </w:r>
            <w:r>
              <w:rPr>
                <w:color w:val="58595B"/>
                <w:spacing w:val="-3"/>
                <w:sz w:val="17"/>
              </w:rPr>
              <w:t>une </w:t>
            </w:r>
            <w:r>
              <w:rPr>
                <w:color w:val="58595B"/>
                <w:spacing w:val="-4"/>
                <w:sz w:val="17"/>
              </w:rPr>
              <w:t>projection </w:t>
            </w:r>
            <w:r>
              <w:rPr>
                <w:color w:val="58595B"/>
                <w:spacing w:val="-3"/>
                <w:sz w:val="17"/>
              </w:rPr>
              <w:t>des </w:t>
            </w:r>
            <w:r>
              <w:rPr>
                <w:color w:val="58595B"/>
                <w:spacing w:val="-4"/>
                <w:sz w:val="17"/>
              </w:rPr>
              <w:t>dépenses totales lorsqu’il </w:t>
            </w:r>
            <w:r>
              <w:rPr>
                <w:color w:val="58595B"/>
                <w:spacing w:val="-3"/>
                <w:sz w:val="17"/>
              </w:rPr>
              <w:t>est </w:t>
            </w:r>
            <w:r>
              <w:rPr>
                <w:color w:val="58595B"/>
                <w:spacing w:val="-4"/>
                <w:sz w:val="17"/>
              </w:rPr>
              <w:t>multiplié </w:t>
            </w:r>
            <w:r>
              <w:rPr>
                <w:color w:val="58595B"/>
                <w:spacing w:val="-3"/>
                <w:sz w:val="17"/>
              </w:rPr>
              <w:t>par </w:t>
            </w:r>
            <w:r>
              <w:rPr>
                <w:color w:val="58595B"/>
                <w:sz w:val="17"/>
              </w:rPr>
              <w:t>le </w:t>
            </w:r>
            <w:r>
              <w:rPr>
                <w:color w:val="58595B"/>
                <w:spacing w:val="-4"/>
                <w:sz w:val="17"/>
              </w:rPr>
              <w:t>nombre d’élèves estimé (voir </w:t>
            </w:r>
            <w:r>
              <w:rPr>
                <w:color w:val="58595B"/>
                <w:sz w:val="17"/>
              </w:rPr>
              <w:t>le </w:t>
            </w:r>
            <w:r>
              <w:rPr>
                <w:color w:val="58595B"/>
                <w:spacing w:val="-4"/>
                <w:sz w:val="17"/>
              </w:rPr>
              <w:t>modèle </w:t>
            </w:r>
            <w:r>
              <w:rPr>
                <w:color w:val="58595B"/>
                <w:sz w:val="17"/>
              </w:rPr>
              <w:t>1 </w:t>
            </w:r>
            <w:r>
              <w:rPr>
                <w:color w:val="58595B"/>
                <w:spacing w:val="-4"/>
                <w:sz w:val="17"/>
              </w:rPr>
              <w:t>dans l’annexe ci-après).</w:t>
            </w:r>
          </w:p>
          <w:p>
            <w:pPr>
              <w:pStyle w:val="TableParagraph"/>
              <w:spacing w:line="271" w:lineRule="auto" w:before="110"/>
              <w:ind w:left="175" w:right="100"/>
              <w:rPr>
                <w:sz w:val="17"/>
              </w:rPr>
            </w:pPr>
            <w:r>
              <w:rPr>
                <w:color w:val="58595B"/>
                <w:spacing w:val="-4"/>
                <w:sz w:val="17"/>
              </w:rPr>
              <w:t>Compte </w:t>
            </w:r>
            <w:r>
              <w:rPr>
                <w:color w:val="58595B"/>
                <w:spacing w:val="-3"/>
                <w:sz w:val="17"/>
              </w:rPr>
              <w:t>tenu </w:t>
            </w:r>
            <w:r>
              <w:rPr>
                <w:color w:val="58595B"/>
                <w:sz w:val="17"/>
              </w:rPr>
              <w:t>de la </w:t>
            </w:r>
            <w:r>
              <w:rPr>
                <w:color w:val="58595B"/>
                <w:spacing w:val="-4"/>
                <w:sz w:val="17"/>
              </w:rPr>
              <w:t>différence </w:t>
            </w:r>
            <w:r>
              <w:rPr>
                <w:color w:val="58595B"/>
                <w:sz w:val="17"/>
              </w:rPr>
              <w:t>de </w:t>
            </w:r>
            <w:r>
              <w:rPr>
                <w:color w:val="58595B"/>
                <w:spacing w:val="-4"/>
                <w:sz w:val="17"/>
              </w:rPr>
              <w:t>nature </w:t>
            </w:r>
            <w:r>
              <w:rPr>
                <w:color w:val="58595B"/>
                <w:spacing w:val="-3"/>
                <w:sz w:val="17"/>
              </w:rPr>
              <w:t>des </w:t>
            </w:r>
            <w:r>
              <w:rPr>
                <w:color w:val="58595B"/>
                <w:spacing w:val="-4"/>
                <w:sz w:val="17"/>
              </w:rPr>
              <w:t>dépenses courantes et </w:t>
            </w:r>
            <w:r>
              <w:rPr>
                <w:color w:val="58595B"/>
                <w:spacing w:val="-3"/>
                <w:sz w:val="17"/>
              </w:rPr>
              <w:t>des </w:t>
            </w:r>
            <w:r>
              <w:rPr>
                <w:color w:val="58595B"/>
                <w:spacing w:val="-4"/>
                <w:sz w:val="17"/>
              </w:rPr>
              <w:t>dépenses d’investissement, </w:t>
            </w:r>
            <w:r>
              <w:rPr>
                <w:color w:val="58595B"/>
                <w:sz w:val="17"/>
              </w:rPr>
              <w:t>il </w:t>
            </w:r>
            <w:r>
              <w:rPr>
                <w:color w:val="58595B"/>
                <w:spacing w:val="-3"/>
                <w:sz w:val="17"/>
              </w:rPr>
              <w:t>est </w:t>
            </w:r>
            <w:r>
              <w:rPr>
                <w:color w:val="58595B"/>
                <w:spacing w:val="-4"/>
                <w:sz w:val="17"/>
              </w:rPr>
              <w:t>souvent utile </w:t>
            </w:r>
            <w:r>
              <w:rPr>
                <w:color w:val="58595B"/>
                <w:sz w:val="17"/>
              </w:rPr>
              <w:t>de </w:t>
            </w:r>
            <w:r>
              <w:rPr>
                <w:color w:val="58595B"/>
                <w:spacing w:val="-4"/>
                <w:sz w:val="17"/>
              </w:rPr>
              <w:t>calculer </w:t>
            </w:r>
            <w:r>
              <w:rPr>
                <w:color w:val="58595B"/>
                <w:sz w:val="17"/>
              </w:rPr>
              <w:t>le </w:t>
            </w:r>
            <w:r>
              <w:rPr>
                <w:color w:val="58595B"/>
                <w:spacing w:val="-4"/>
                <w:sz w:val="17"/>
              </w:rPr>
              <w:t>coût unitaire public </w:t>
            </w:r>
            <w:r>
              <w:rPr>
                <w:color w:val="58595B"/>
                <w:spacing w:val="-3"/>
                <w:sz w:val="17"/>
              </w:rPr>
              <w:t>des </w:t>
            </w:r>
            <w:r>
              <w:rPr>
                <w:color w:val="58595B"/>
                <w:spacing w:val="-4"/>
                <w:sz w:val="17"/>
              </w:rPr>
              <w:t>dépenses consacrées </w:t>
            </w:r>
            <w:r>
              <w:rPr>
                <w:color w:val="58595B"/>
                <w:sz w:val="17"/>
              </w:rPr>
              <w:t>à </w:t>
            </w:r>
            <w:r>
              <w:rPr>
                <w:color w:val="58595B"/>
                <w:spacing w:val="-4"/>
                <w:sz w:val="17"/>
              </w:rPr>
              <w:t>l’EPE </w:t>
            </w:r>
            <w:r>
              <w:rPr>
                <w:color w:val="58595B"/>
                <w:spacing w:val="-3"/>
                <w:sz w:val="17"/>
              </w:rPr>
              <w:t>pour ces deux </w:t>
            </w:r>
            <w:r>
              <w:rPr>
                <w:color w:val="58595B"/>
                <w:spacing w:val="-4"/>
                <w:sz w:val="17"/>
              </w:rPr>
              <w:t>types </w:t>
            </w:r>
            <w:r>
              <w:rPr>
                <w:color w:val="58595B"/>
                <w:sz w:val="17"/>
              </w:rPr>
              <w:t>de </w:t>
            </w:r>
            <w:r>
              <w:rPr>
                <w:color w:val="58595B"/>
                <w:spacing w:val="-4"/>
                <w:sz w:val="17"/>
              </w:rPr>
              <w:t>dépenses. </w:t>
            </w:r>
            <w:r>
              <w:rPr>
                <w:color w:val="58595B"/>
                <w:sz w:val="17"/>
              </w:rPr>
              <w:t>Il </w:t>
            </w:r>
            <w:r>
              <w:rPr>
                <w:color w:val="58595B"/>
                <w:spacing w:val="-3"/>
                <w:sz w:val="17"/>
              </w:rPr>
              <w:t>est </w:t>
            </w:r>
            <w:r>
              <w:rPr>
                <w:color w:val="58595B"/>
                <w:spacing w:val="-4"/>
                <w:sz w:val="17"/>
              </w:rPr>
              <w:t>fréquent </w:t>
            </w:r>
            <w:r>
              <w:rPr>
                <w:color w:val="58595B"/>
                <w:sz w:val="17"/>
              </w:rPr>
              <w:t>de se </w:t>
            </w:r>
            <w:r>
              <w:rPr>
                <w:color w:val="58595B"/>
                <w:spacing w:val="-4"/>
                <w:sz w:val="17"/>
              </w:rPr>
              <w:t>concentrer </w:t>
            </w:r>
            <w:r>
              <w:rPr>
                <w:color w:val="58595B"/>
                <w:spacing w:val="-3"/>
                <w:sz w:val="17"/>
              </w:rPr>
              <w:t>sur </w:t>
            </w:r>
            <w:r>
              <w:rPr>
                <w:color w:val="58595B"/>
                <w:sz w:val="17"/>
              </w:rPr>
              <w:t>le </w:t>
            </w:r>
            <w:r>
              <w:rPr>
                <w:color w:val="58595B"/>
                <w:spacing w:val="-3"/>
                <w:sz w:val="17"/>
              </w:rPr>
              <w:t>coût </w:t>
            </w:r>
            <w:r>
              <w:rPr>
                <w:color w:val="58595B"/>
                <w:spacing w:val="-4"/>
                <w:sz w:val="17"/>
              </w:rPr>
              <w:t>unitaire public courant.</w:t>
            </w:r>
          </w:p>
          <w:p>
            <w:pPr>
              <w:pStyle w:val="TableParagraph"/>
              <w:spacing w:line="271" w:lineRule="auto" w:before="109"/>
              <w:ind w:left="175" w:right="311"/>
              <w:rPr>
                <w:sz w:val="17"/>
              </w:rPr>
            </w:pPr>
            <w:r>
              <w:rPr>
                <w:color w:val="58595B"/>
                <w:spacing w:val="-3"/>
                <w:sz w:val="17"/>
              </w:rPr>
              <w:t>Les </w:t>
            </w:r>
            <w:r>
              <w:rPr>
                <w:color w:val="58595B"/>
                <w:spacing w:val="-4"/>
                <w:sz w:val="17"/>
              </w:rPr>
              <w:t>dépenses d’investissement étant souvent supportées </w:t>
            </w:r>
            <w:r>
              <w:rPr>
                <w:color w:val="58595B"/>
                <w:spacing w:val="-3"/>
                <w:sz w:val="17"/>
              </w:rPr>
              <w:t>par </w:t>
            </w:r>
            <w:r>
              <w:rPr>
                <w:color w:val="58595B"/>
                <w:spacing w:val="-4"/>
                <w:sz w:val="17"/>
              </w:rPr>
              <w:t>les partenaires, </w:t>
            </w:r>
            <w:r>
              <w:rPr>
                <w:color w:val="58595B"/>
                <w:sz w:val="17"/>
              </w:rPr>
              <w:t>il </w:t>
            </w:r>
            <w:r>
              <w:rPr>
                <w:color w:val="58595B"/>
                <w:spacing w:val="-3"/>
                <w:sz w:val="17"/>
              </w:rPr>
              <w:t>est </w:t>
            </w:r>
            <w:r>
              <w:rPr>
                <w:color w:val="58595B"/>
                <w:spacing w:val="-4"/>
                <w:sz w:val="17"/>
              </w:rPr>
              <w:t>également fréquent </w:t>
            </w:r>
            <w:r>
              <w:rPr>
                <w:color w:val="58595B"/>
                <w:sz w:val="17"/>
              </w:rPr>
              <w:t>de </w:t>
            </w:r>
            <w:r>
              <w:rPr>
                <w:color w:val="58595B"/>
                <w:spacing w:val="-4"/>
                <w:sz w:val="17"/>
              </w:rPr>
              <w:t>calculer </w:t>
            </w:r>
            <w:r>
              <w:rPr>
                <w:color w:val="58595B"/>
                <w:sz w:val="17"/>
              </w:rPr>
              <w:t>le </w:t>
            </w:r>
            <w:r>
              <w:rPr>
                <w:color w:val="58595B"/>
                <w:spacing w:val="-3"/>
                <w:sz w:val="17"/>
              </w:rPr>
              <w:t>coût </w:t>
            </w:r>
            <w:r>
              <w:rPr>
                <w:color w:val="58595B"/>
                <w:spacing w:val="-4"/>
                <w:sz w:val="17"/>
              </w:rPr>
              <w:t>unitaire </w:t>
            </w:r>
            <w:r>
              <w:rPr>
                <w:color w:val="58595B"/>
                <w:sz w:val="17"/>
              </w:rPr>
              <w:t>à </w:t>
            </w:r>
            <w:r>
              <w:rPr>
                <w:color w:val="58595B"/>
                <w:spacing w:val="-4"/>
                <w:sz w:val="17"/>
              </w:rPr>
              <w:t>partir </w:t>
            </w:r>
            <w:r>
              <w:rPr>
                <w:color w:val="58595B"/>
                <w:spacing w:val="-3"/>
                <w:sz w:val="17"/>
              </w:rPr>
              <w:t>des </w:t>
            </w:r>
            <w:r>
              <w:rPr>
                <w:color w:val="58595B"/>
                <w:spacing w:val="-4"/>
                <w:sz w:val="17"/>
              </w:rPr>
              <w:t>dépenses courantes. </w:t>
            </w:r>
            <w:r>
              <w:rPr>
                <w:color w:val="58595B"/>
                <w:sz w:val="17"/>
              </w:rPr>
              <w:t>Si </w:t>
            </w:r>
            <w:r>
              <w:rPr>
                <w:color w:val="58595B"/>
                <w:spacing w:val="-3"/>
                <w:sz w:val="17"/>
              </w:rPr>
              <w:t>les </w:t>
            </w:r>
            <w:r>
              <w:rPr>
                <w:color w:val="58595B"/>
                <w:spacing w:val="-4"/>
                <w:sz w:val="17"/>
              </w:rPr>
              <w:t>dépenses d’investissement doivent entrer </w:t>
            </w:r>
            <w:r>
              <w:rPr>
                <w:color w:val="58595B"/>
                <w:spacing w:val="-3"/>
                <w:sz w:val="17"/>
              </w:rPr>
              <w:t>dans </w:t>
            </w:r>
            <w:r>
              <w:rPr>
                <w:color w:val="58595B"/>
                <w:sz w:val="17"/>
              </w:rPr>
              <w:t>le </w:t>
            </w:r>
            <w:r>
              <w:rPr>
                <w:color w:val="58595B"/>
                <w:spacing w:val="-4"/>
                <w:sz w:val="17"/>
              </w:rPr>
              <w:t>calcul </w:t>
            </w:r>
            <w:r>
              <w:rPr>
                <w:color w:val="58595B"/>
                <w:sz w:val="17"/>
              </w:rPr>
              <w:t>du </w:t>
            </w:r>
            <w:r>
              <w:rPr>
                <w:color w:val="58595B"/>
                <w:spacing w:val="-3"/>
                <w:sz w:val="17"/>
              </w:rPr>
              <w:t>coût </w:t>
            </w:r>
            <w:r>
              <w:rPr>
                <w:color w:val="58595B"/>
                <w:spacing w:val="-4"/>
                <w:sz w:val="17"/>
              </w:rPr>
              <w:t>unitaire, </w:t>
            </w:r>
            <w:r>
              <w:rPr>
                <w:color w:val="58595B"/>
                <w:sz w:val="17"/>
              </w:rPr>
              <w:t>la </w:t>
            </w:r>
            <w:r>
              <w:rPr>
                <w:color w:val="58595B"/>
                <w:spacing w:val="-4"/>
                <w:sz w:val="17"/>
              </w:rPr>
              <w:t>durée prévue doit également </w:t>
            </w:r>
            <w:r>
              <w:rPr>
                <w:color w:val="58595B"/>
                <w:spacing w:val="-3"/>
                <w:sz w:val="17"/>
              </w:rPr>
              <w:t>être </w:t>
            </w:r>
            <w:r>
              <w:rPr>
                <w:color w:val="58595B"/>
                <w:spacing w:val="-4"/>
                <w:sz w:val="17"/>
              </w:rPr>
              <w:t>prise </w:t>
            </w:r>
            <w:r>
              <w:rPr>
                <w:color w:val="58595B"/>
                <w:sz w:val="17"/>
              </w:rPr>
              <w:t>en </w:t>
            </w:r>
            <w:r>
              <w:rPr>
                <w:color w:val="58595B"/>
                <w:spacing w:val="-4"/>
                <w:sz w:val="17"/>
              </w:rPr>
              <w:t>compte. </w:t>
            </w:r>
            <w:r>
              <w:rPr>
                <w:color w:val="58595B"/>
                <w:spacing w:val="-3"/>
                <w:sz w:val="17"/>
              </w:rPr>
              <w:t>Une </w:t>
            </w:r>
            <w:r>
              <w:rPr>
                <w:color w:val="58595B"/>
                <w:spacing w:val="-4"/>
                <w:sz w:val="17"/>
              </w:rPr>
              <w:t>formule utile </w:t>
            </w:r>
            <w:r>
              <w:rPr>
                <w:color w:val="58595B"/>
                <w:sz w:val="17"/>
              </w:rPr>
              <w:t>à </w:t>
            </w:r>
            <w:r>
              <w:rPr>
                <w:color w:val="58595B"/>
                <w:spacing w:val="-3"/>
                <w:sz w:val="17"/>
              </w:rPr>
              <w:t>cet </w:t>
            </w:r>
            <w:r>
              <w:rPr>
                <w:color w:val="58595B"/>
                <w:spacing w:val="-4"/>
                <w:sz w:val="17"/>
              </w:rPr>
              <w:t>effet est proposée </w:t>
            </w:r>
            <w:r>
              <w:rPr>
                <w:color w:val="58595B"/>
                <w:spacing w:val="-3"/>
                <w:sz w:val="17"/>
              </w:rPr>
              <w:t>dans </w:t>
            </w:r>
            <w:r>
              <w:rPr>
                <w:color w:val="58595B"/>
                <w:sz w:val="17"/>
              </w:rPr>
              <w:t>le </w:t>
            </w:r>
            <w:hyperlink r:id="rId19">
              <w:r>
                <w:rPr>
                  <w:i/>
                  <w:color w:val="58595B"/>
                  <w:spacing w:val="-4"/>
                  <w:sz w:val="17"/>
                  <w:u w:val="single" w:color="000000"/>
                </w:rPr>
                <w:t>Guide méthodologique </w:t>
              </w:r>
              <w:r>
                <w:rPr>
                  <w:i/>
                  <w:color w:val="58595B"/>
                  <w:spacing w:val="-3"/>
                  <w:sz w:val="17"/>
                  <w:u w:val="single" w:color="000000"/>
                </w:rPr>
                <w:t>pour </w:t>
              </w:r>
              <w:r>
                <w:rPr>
                  <w:i/>
                  <w:color w:val="58595B"/>
                  <w:spacing w:val="-4"/>
                  <w:sz w:val="17"/>
                  <w:u w:val="single" w:color="000000"/>
                </w:rPr>
                <w:t>l’analyse sectorielle</w:t>
              </w:r>
            </w:hyperlink>
            <w:r>
              <w:rPr>
                <w:i/>
                <w:color w:val="58595B"/>
                <w:spacing w:val="-4"/>
                <w:sz w:val="17"/>
              </w:rPr>
              <w:t> </w:t>
            </w:r>
            <w:hyperlink r:id="rId19">
              <w:r>
                <w:rPr>
                  <w:i/>
                  <w:color w:val="58595B"/>
                  <w:sz w:val="17"/>
                  <w:u w:val="single" w:color="000000"/>
                </w:rPr>
                <w:t>de </w:t>
              </w:r>
              <w:r>
                <w:rPr>
                  <w:i/>
                  <w:color w:val="58595B"/>
                  <w:spacing w:val="-4"/>
                  <w:sz w:val="17"/>
                  <w:u w:val="single" w:color="000000"/>
                </w:rPr>
                <w:t>l’éducation, </w:t>
              </w:r>
              <w:r>
                <w:rPr>
                  <w:i/>
                  <w:color w:val="58595B"/>
                  <w:spacing w:val="-5"/>
                  <w:sz w:val="17"/>
                  <w:u w:val="single" w:color="000000"/>
                </w:rPr>
                <w:t>Volume </w:t>
              </w:r>
              <w:r>
                <w:rPr>
                  <w:i/>
                  <w:color w:val="58595B"/>
                  <w:sz w:val="17"/>
                  <w:u w:val="single" w:color="000000"/>
                </w:rPr>
                <w:t>1</w:t>
              </w:r>
              <w:r>
                <w:rPr>
                  <w:color w:val="58595B"/>
                  <w:sz w:val="17"/>
                  <w:u w:val="single" w:color="000000"/>
                </w:rPr>
                <w:t>, </w:t>
              </w:r>
              <w:r>
                <w:rPr>
                  <w:color w:val="58595B"/>
                  <w:spacing w:val="-4"/>
                  <w:sz w:val="17"/>
                  <w:u w:val="single" w:color="000000"/>
                </w:rPr>
                <w:t>chapitre </w:t>
              </w:r>
              <w:r>
                <w:rPr>
                  <w:color w:val="58595B"/>
                  <w:sz w:val="17"/>
                  <w:u w:val="single" w:color="000000"/>
                </w:rPr>
                <w:t>3 « </w:t>
              </w:r>
              <w:r>
                <w:rPr>
                  <w:color w:val="58595B"/>
                  <w:spacing w:val="-4"/>
                  <w:sz w:val="17"/>
                  <w:u w:val="single" w:color="000000"/>
                </w:rPr>
                <w:t>Coûts </w:t>
              </w:r>
              <w:r>
                <w:rPr>
                  <w:color w:val="58595B"/>
                  <w:sz w:val="17"/>
                  <w:u w:val="single" w:color="000000"/>
                </w:rPr>
                <w:t>et </w:t>
              </w:r>
              <w:r>
                <w:rPr>
                  <w:color w:val="58595B"/>
                  <w:spacing w:val="-4"/>
                  <w:sz w:val="17"/>
                  <w:u w:val="single" w:color="000000"/>
                </w:rPr>
                <w:t>financement </w:t>
              </w:r>
              <w:r>
                <w:rPr>
                  <w:color w:val="58595B"/>
                  <w:sz w:val="17"/>
                  <w:u w:val="single" w:color="000000"/>
                </w:rPr>
                <w:t>»</w:t>
              </w:r>
            </w:hyperlink>
            <w:r>
              <w:rPr>
                <w:color w:val="58595B"/>
                <w:sz w:val="17"/>
              </w:rPr>
              <w:t> </w:t>
            </w:r>
            <w:hyperlink r:id="rId19">
              <w:r>
                <w:rPr>
                  <w:color w:val="58595B"/>
                  <w:spacing w:val="-4"/>
                  <w:sz w:val="17"/>
                  <w:u w:val="single" w:color="000000"/>
                </w:rPr>
                <w:t>(2014) publié </w:t>
              </w:r>
              <w:r>
                <w:rPr>
                  <w:color w:val="58595B"/>
                  <w:spacing w:val="-3"/>
                  <w:sz w:val="17"/>
                  <w:u w:val="single" w:color="000000"/>
                </w:rPr>
                <w:t>par </w:t>
              </w:r>
              <w:r>
                <w:rPr>
                  <w:color w:val="58595B"/>
                  <w:spacing w:val="-4"/>
                  <w:sz w:val="17"/>
                  <w:u w:val="single" w:color="000000"/>
                </w:rPr>
                <w:t>l’UNESCO, l’Institut international </w:t>
              </w:r>
              <w:r>
                <w:rPr>
                  <w:color w:val="58595B"/>
                  <w:sz w:val="17"/>
                  <w:u w:val="single" w:color="000000"/>
                </w:rPr>
                <w:t>de </w:t>
              </w:r>
              <w:r>
                <w:rPr>
                  <w:color w:val="58595B"/>
                  <w:spacing w:val="-4"/>
                  <w:sz w:val="17"/>
                  <w:u w:val="single" w:color="000000"/>
                </w:rPr>
                <w:t>planification</w:t>
              </w:r>
            </w:hyperlink>
            <w:r>
              <w:rPr>
                <w:color w:val="58595B"/>
                <w:spacing w:val="-4"/>
                <w:sz w:val="17"/>
              </w:rPr>
              <w:t> </w:t>
            </w:r>
            <w:hyperlink r:id="rId19">
              <w:r>
                <w:rPr>
                  <w:color w:val="58595B"/>
                  <w:sz w:val="17"/>
                  <w:u w:val="single" w:color="000000"/>
                </w:rPr>
                <w:t>de </w:t>
              </w:r>
              <w:r>
                <w:rPr>
                  <w:color w:val="58595B"/>
                  <w:spacing w:val="-4"/>
                  <w:sz w:val="17"/>
                  <w:u w:val="single" w:color="000000"/>
                </w:rPr>
                <w:t>l’éducation </w:t>
              </w:r>
              <w:r>
                <w:rPr>
                  <w:color w:val="58595B"/>
                  <w:sz w:val="17"/>
                  <w:u w:val="single" w:color="000000"/>
                </w:rPr>
                <w:t>de </w:t>
              </w:r>
              <w:r>
                <w:rPr>
                  <w:color w:val="58595B"/>
                  <w:spacing w:val="-4"/>
                  <w:sz w:val="17"/>
                  <w:u w:val="single" w:color="000000"/>
                </w:rPr>
                <w:t>l’UNESCO, </w:t>
              </w:r>
              <w:r>
                <w:rPr>
                  <w:color w:val="58595B"/>
                  <w:sz w:val="17"/>
                  <w:u w:val="single" w:color="000000"/>
                </w:rPr>
                <w:t>la </w:t>
              </w:r>
              <w:r>
                <w:rPr>
                  <w:color w:val="58595B"/>
                  <w:spacing w:val="-4"/>
                  <w:sz w:val="17"/>
                  <w:u w:val="single" w:color="000000"/>
                </w:rPr>
                <w:t>Banque mondiale, l’UNICEF </w:t>
              </w:r>
              <w:r>
                <w:rPr>
                  <w:color w:val="58595B"/>
                  <w:sz w:val="17"/>
                  <w:u w:val="single" w:color="000000"/>
                </w:rPr>
                <w:t>et </w:t>
              </w:r>
              <w:r>
                <w:rPr>
                  <w:color w:val="58595B"/>
                  <w:spacing w:val="-4"/>
                  <w:sz w:val="17"/>
                  <w:u w:val="single" w:color="000000"/>
                </w:rPr>
                <w:t>le</w:t>
              </w:r>
            </w:hyperlink>
            <w:r>
              <w:rPr>
                <w:color w:val="58595B"/>
                <w:spacing w:val="-4"/>
                <w:sz w:val="17"/>
              </w:rPr>
              <w:t> </w:t>
            </w:r>
            <w:hyperlink r:id="rId19">
              <w:r>
                <w:rPr>
                  <w:color w:val="58595B"/>
                  <w:spacing w:val="-4"/>
                  <w:sz w:val="17"/>
                  <w:u w:val="single" w:color="000000"/>
                </w:rPr>
                <w:t>Partenariat mondial </w:t>
              </w:r>
              <w:r>
                <w:rPr>
                  <w:color w:val="58595B"/>
                  <w:spacing w:val="-3"/>
                  <w:sz w:val="17"/>
                  <w:u w:val="single" w:color="000000"/>
                </w:rPr>
                <w:t>pour </w:t>
              </w:r>
              <w:r>
                <w:rPr>
                  <w:color w:val="58595B"/>
                  <w:spacing w:val="-4"/>
                  <w:sz w:val="17"/>
                  <w:u w:val="single" w:color="000000"/>
                </w:rPr>
                <w:t>l’éducation</w:t>
              </w:r>
              <w:r>
                <w:rPr>
                  <w:color w:val="58595B"/>
                  <w:spacing w:val="-4"/>
                  <w:sz w:val="17"/>
                </w:rPr>
                <w:t> </w:t>
              </w:r>
              <w:r>
                <w:rPr>
                  <w:color w:val="58595B"/>
                  <w:sz w:val="17"/>
                </w:rPr>
                <w:t>.</w:t>
              </w:r>
            </w:hyperlink>
          </w:p>
        </w:tc>
      </w:tr>
      <w:tr>
        <w:trPr>
          <w:trHeight w:val="1103" w:hRule="atLeast"/>
        </w:trPr>
        <w:tc>
          <w:tcPr>
            <w:tcW w:w="1927"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1752"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rPr>
                <w:sz w:val="20"/>
              </w:rPr>
            </w:pPr>
          </w:p>
          <w:p>
            <w:pPr>
              <w:pStyle w:val="TableParagraph"/>
              <w:spacing w:line="271" w:lineRule="auto" w:before="1"/>
              <w:ind w:left="177" w:right="334"/>
              <w:rPr>
                <w:sz w:val="17"/>
              </w:rPr>
            </w:pPr>
            <w:r>
              <w:rPr>
                <w:color w:val="58595B"/>
                <w:sz w:val="17"/>
              </w:rPr>
              <w:t>En pourcentage du PIB par habitant</w:t>
            </w:r>
          </w:p>
        </w:tc>
        <w:tc>
          <w:tcPr>
            <w:tcW w:w="3204"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2165"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5353"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spacing w:line="271" w:lineRule="auto" w:before="121"/>
              <w:ind w:left="175" w:right="311"/>
              <w:rPr>
                <w:sz w:val="17"/>
              </w:rPr>
            </w:pPr>
            <w:r>
              <w:rPr>
                <w:color w:val="58595B"/>
                <w:spacing w:val="-4"/>
                <w:sz w:val="17"/>
              </w:rPr>
              <w:t>Exprimé </w:t>
            </w:r>
            <w:r>
              <w:rPr>
                <w:color w:val="58595B"/>
                <w:sz w:val="17"/>
              </w:rPr>
              <w:t>en </w:t>
            </w:r>
            <w:r>
              <w:rPr>
                <w:color w:val="58595B"/>
                <w:spacing w:val="-4"/>
                <w:sz w:val="17"/>
              </w:rPr>
              <w:t>pourcentage </w:t>
            </w:r>
            <w:r>
              <w:rPr>
                <w:color w:val="58595B"/>
                <w:sz w:val="17"/>
              </w:rPr>
              <w:t>du </w:t>
            </w:r>
            <w:r>
              <w:rPr>
                <w:color w:val="58595B"/>
                <w:spacing w:val="-3"/>
                <w:sz w:val="17"/>
              </w:rPr>
              <w:t>PIB par </w:t>
            </w:r>
            <w:r>
              <w:rPr>
                <w:color w:val="58595B"/>
                <w:spacing w:val="-4"/>
                <w:sz w:val="17"/>
              </w:rPr>
              <w:t>habitant, </w:t>
            </w:r>
            <w:r>
              <w:rPr>
                <w:color w:val="58595B"/>
                <w:sz w:val="17"/>
              </w:rPr>
              <w:t>le </w:t>
            </w:r>
            <w:r>
              <w:rPr>
                <w:color w:val="58595B"/>
                <w:spacing w:val="-3"/>
                <w:sz w:val="17"/>
              </w:rPr>
              <w:t>coût </w:t>
            </w:r>
            <w:r>
              <w:rPr>
                <w:color w:val="58595B"/>
                <w:spacing w:val="-4"/>
                <w:sz w:val="17"/>
              </w:rPr>
              <w:t>unitaire peut </w:t>
            </w:r>
            <w:r>
              <w:rPr>
                <w:color w:val="58595B"/>
                <w:spacing w:val="-3"/>
                <w:sz w:val="17"/>
              </w:rPr>
              <w:t>être </w:t>
            </w:r>
            <w:r>
              <w:rPr>
                <w:color w:val="58595B"/>
                <w:spacing w:val="-4"/>
                <w:sz w:val="17"/>
              </w:rPr>
              <w:t>comparé entre </w:t>
            </w:r>
            <w:r>
              <w:rPr>
                <w:color w:val="58595B"/>
                <w:spacing w:val="-3"/>
                <w:sz w:val="17"/>
              </w:rPr>
              <w:t>les pays </w:t>
            </w:r>
            <w:r>
              <w:rPr>
                <w:color w:val="58595B"/>
                <w:sz w:val="17"/>
              </w:rPr>
              <w:t>afin </w:t>
            </w:r>
            <w:r>
              <w:rPr>
                <w:color w:val="58595B"/>
                <w:spacing w:val="-4"/>
                <w:sz w:val="17"/>
              </w:rPr>
              <w:t>d’évaluer l’investissement public </w:t>
            </w:r>
            <w:r>
              <w:rPr>
                <w:color w:val="58595B"/>
                <w:spacing w:val="-3"/>
                <w:sz w:val="17"/>
              </w:rPr>
              <w:t>dans </w:t>
            </w:r>
            <w:r>
              <w:rPr>
                <w:color w:val="58595B"/>
                <w:sz w:val="17"/>
              </w:rPr>
              <w:t>la </w:t>
            </w:r>
            <w:r>
              <w:rPr>
                <w:color w:val="58595B"/>
                <w:spacing w:val="-4"/>
                <w:sz w:val="17"/>
              </w:rPr>
              <w:t>prestation </w:t>
            </w:r>
            <w:r>
              <w:rPr>
                <w:color w:val="58595B"/>
                <w:sz w:val="17"/>
              </w:rPr>
              <w:t>de </w:t>
            </w:r>
            <w:r>
              <w:rPr>
                <w:color w:val="58595B"/>
                <w:spacing w:val="-4"/>
                <w:sz w:val="17"/>
              </w:rPr>
              <w:t>services d’EPE, ainsi </w:t>
            </w:r>
            <w:r>
              <w:rPr>
                <w:color w:val="58595B"/>
                <w:spacing w:val="-3"/>
                <w:sz w:val="17"/>
              </w:rPr>
              <w:t>que </w:t>
            </w:r>
            <w:r>
              <w:rPr>
                <w:color w:val="58595B"/>
                <w:sz w:val="17"/>
              </w:rPr>
              <w:t>le </w:t>
            </w:r>
            <w:r>
              <w:rPr>
                <w:color w:val="58595B"/>
                <w:spacing w:val="-3"/>
                <w:sz w:val="17"/>
              </w:rPr>
              <w:t>coût </w:t>
            </w:r>
            <w:r>
              <w:rPr>
                <w:color w:val="58595B"/>
                <w:spacing w:val="-4"/>
                <w:sz w:val="17"/>
              </w:rPr>
              <w:t>relatif de scolarisation </w:t>
            </w:r>
            <w:r>
              <w:rPr>
                <w:color w:val="58595B"/>
                <w:spacing w:val="-3"/>
                <w:sz w:val="17"/>
              </w:rPr>
              <w:t>d’un </w:t>
            </w:r>
            <w:r>
              <w:rPr>
                <w:color w:val="58595B"/>
                <w:spacing w:val="-4"/>
                <w:sz w:val="17"/>
              </w:rPr>
              <w:t>enfant </w:t>
            </w:r>
            <w:r>
              <w:rPr>
                <w:color w:val="58595B"/>
                <w:spacing w:val="-3"/>
                <w:sz w:val="17"/>
              </w:rPr>
              <w:t>dans </w:t>
            </w:r>
            <w:r>
              <w:rPr>
                <w:color w:val="58595B"/>
                <w:sz w:val="17"/>
              </w:rPr>
              <w:t>un </w:t>
            </w:r>
            <w:r>
              <w:rPr>
                <w:color w:val="58595B"/>
                <w:spacing w:val="-4"/>
                <w:sz w:val="17"/>
              </w:rPr>
              <w:t>établissement public d’EPE.</w:t>
            </w:r>
          </w:p>
        </w:tc>
      </w:tr>
      <w:tr>
        <w:trPr>
          <w:trHeight w:val="3862" w:hRule="atLeast"/>
        </w:trPr>
        <w:tc>
          <w:tcPr>
            <w:tcW w:w="1927"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1752"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line="271" w:lineRule="auto" w:before="116"/>
              <w:ind w:left="177" w:right="221"/>
              <w:rPr>
                <w:sz w:val="17"/>
              </w:rPr>
            </w:pPr>
            <w:r>
              <w:rPr>
                <w:color w:val="58595B"/>
                <w:sz w:val="17"/>
              </w:rPr>
              <w:t>Par type de dépenses (courantes et d’investissement)</w:t>
            </w:r>
          </w:p>
          <w:p>
            <w:pPr>
              <w:pStyle w:val="TableParagraph"/>
              <w:rPr>
                <w:sz w:val="18"/>
              </w:rPr>
            </w:pPr>
          </w:p>
          <w:p>
            <w:pPr>
              <w:pStyle w:val="TableParagraph"/>
              <w:spacing w:before="6"/>
              <w:rPr>
                <w:sz w:val="20"/>
              </w:rPr>
            </w:pPr>
          </w:p>
          <w:p>
            <w:pPr>
              <w:pStyle w:val="TableParagraph"/>
              <w:spacing w:line="271" w:lineRule="auto"/>
              <w:ind w:left="177" w:right="429"/>
              <w:rPr>
                <w:sz w:val="17"/>
              </w:rPr>
            </w:pPr>
            <w:r>
              <w:rPr>
                <w:color w:val="58595B"/>
                <w:sz w:val="17"/>
              </w:rPr>
              <w:t>Par modèle de prestation de services</w:t>
            </w:r>
          </w:p>
        </w:tc>
        <w:tc>
          <w:tcPr>
            <w:tcW w:w="3204"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6"/>
              </w:rPr>
            </w:pPr>
          </w:p>
          <w:p>
            <w:pPr>
              <w:pStyle w:val="TableParagraph"/>
              <w:spacing w:line="271" w:lineRule="auto" w:before="1" w:after="50"/>
              <w:ind w:left="944" w:right="292" w:hanging="530"/>
              <w:rPr>
                <w:sz w:val="17"/>
              </w:rPr>
            </w:pPr>
            <w:r>
              <w:rPr>
                <w:color w:val="58595B"/>
                <w:sz w:val="17"/>
              </w:rPr>
              <w:t>Dépenses publiques consacrées à l’EPE de type A</w:t>
            </w:r>
          </w:p>
          <w:p>
            <w:pPr>
              <w:pStyle w:val="TableParagraph"/>
              <w:spacing w:line="20" w:lineRule="exact"/>
              <w:ind w:left="161"/>
              <w:rPr>
                <w:sz w:val="2"/>
              </w:rPr>
            </w:pPr>
            <w:r>
              <w:rPr>
                <w:sz w:val="2"/>
              </w:rPr>
              <w:pict>
                <v:group style="width:145pt;height:.25pt;mso-position-horizontal-relative:char;mso-position-vertical-relative:line" coordorigin="0,0" coordsize="2900,5">
                  <v:line style="position:absolute" from="0,3" to="2900,3" stroked="true" strokeweight=".25pt" strokecolor="#58595b">
                    <v:stroke dashstyle="solid"/>
                  </v:line>
                </v:group>
              </w:pict>
            </w:r>
            <w:r>
              <w:rPr>
                <w:sz w:val="2"/>
              </w:rPr>
            </w:r>
          </w:p>
          <w:p>
            <w:pPr>
              <w:pStyle w:val="TableParagraph"/>
              <w:spacing w:line="271" w:lineRule="auto" w:before="70"/>
              <w:ind w:left="1246" w:right="420" w:hanging="657"/>
              <w:rPr>
                <w:sz w:val="17"/>
              </w:rPr>
            </w:pPr>
            <w:r>
              <w:rPr>
                <w:color w:val="58595B"/>
                <w:sz w:val="17"/>
              </w:rPr>
              <w:t>Nombre d’élèves dans l’EPE de type A</w:t>
            </w:r>
          </w:p>
        </w:tc>
        <w:tc>
          <w:tcPr>
            <w:tcW w:w="2165" w:type="dxa"/>
            <w:vMerge/>
            <w:tcBorders>
              <w:top w:val="nil"/>
              <w:left w:val="single" w:sz="8" w:space="0" w:color="FFFFFF"/>
              <w:bottom w:val="single" w:sz="8" w:space="0" w:color="FFFFFF"/>
              <w:right w:val="single" w:sz="8" w:space="0" w:color="FFFFFF"/>
            </w:tcBorders>
            <w:shd w:val="clear" w:color="auto" w:fill="FEEDD2"/>
          </w:tcPr>
          <w:p>
            <w:pPr>
              <w:rPr>
                <w:sz w:val="2"/>
                <w:szCs w:val="2"/>
              </w:rPr>
            </w:pPr>
          </w:p>
        </w:tc>
        <w:tc>
          <w:tcPr>
            <w:tcW w:w="5353" w:type="dxa"/>
            <w:tcBorders>
              <w:top w:val="single" w:sz="8" w:space="0" w:color="FFFFFF"/>
              <w:left w:val="single" w:sz="8" w:space="0" w:color="FFFFFF"/>
              <w:bottom w:val="single" w:sz="8" w:space="0" w:color="FFFFFF"/>
              <w:right w:val="single" w:sz="8" w:space="0" w:color="FFFFFF"/>
            </w:tcBorders>
            <w:shd w:val="clear" w:color="auto" w:fill="FEEDD2"/>
          </w:tcPr>
          <w:p>
            <w:pPr>
              <w:pStyle w:val="TableParagraph"/>
              <w:spacing w:line="271" w:lineRule="auto" w:before="121"/>
              <w:ind w:left="175" w:right="100"/>
              <w:rPr>
                <w:sz w:val="17"/>
              </w:rPr>
            </w:pPr>
            <w:r>
              <w:rPr>
                <w:color w:val="58595B"/>
                <w:spacing w:val="-3"/>
                <w:sz w:val="17"/>
              </w:rPr>
              <w:t>Dans une </w:t>
            </w:r>
            <w:r>
              <w:rPr>
                <w:color w:val="58595B"/>
                <w:spacing w:val="-4"/>
                <w:sz w:val="17"/>
              </w:rPr>
              <w:t>optique </w:t>
            </w:r>
            <w:r>
              <w:rPr>
                <w:color w:val="58595B"/>
                <w:sz w:val="17"/>
              </w:rPr>
              <w:t>de </w:t>
            </w:r>
            <w:r>
              <w:rPr>
                <w:color w:val="58595B"/>
                <w:spacing w:val="-4"/>
                <w:sz w:val="17"/>
              </w:rPr>
              <w:t>dépenses publiques, </w:t>
            </w:r>
            <w:r>
              <w:rPr>
                <w:color w:val="58595B"/>
                <w:sz w:val="17"/>
              </w:rPr>
              <w:t>il </w:t>
            </w:r>
            <w:r>
              <w:rPr>
                <w:color w:val="58595B"/>
                <w:spacing w:val="-3"/>
                <w:sz w:val="17"/>
              </w:rPr>
              <w:t>peut être </w:t>
            </w:r>
            <w:r>
              <w:rPr>
                <w:color w:val="58595B"/>
                <w:spacing w:val="-4"/>
                <w:sz w:val="17"/>
              </w:rPr>
              <w:t>extrêmement utile </w:t>
            </w:r>
            <w:r>
              <w:rPr>
                <w:color w:val="58595B"/>
                <w:sz w:val="17"/>
              </w:rPr>
              <w:t>de </w:t>
            </w:r>
            <w:r>
              <w:rPr>
                <w:color w:val="58595B"/>
                <w:spacing w:val="-4"/>
                <w:sz w:val="17"/>
              </w:rPr>
              <w:t>comparer </w:t>
            </w:r>
            <w:r>
              <w:rPr>
                <w:color w:val="58595B"/>
                <w:spacing w:val="-3"/>
                <w:sz w:val="17"/>
              </w:rPr>
              <w:t>les </w:t>
            </w:r>
            <w:r>
              <w:rPr>
                <w:color w:val="58595B"/>
                <w:spacing w:val="-4"/>
                <w:sz w:val="17"/>
              </w:rPr>
              <w:t>coûts publics associés </w:t>
            </w:r>
            <w:r>
              <w:rPr>
                <w:color w:val="58595B"/>
                <w:sz w:val="17"/>
              </w:rPr>
              <w:t>à la </w:t>
            </w:r>
            <w:r>
              <w:rPr>
                <w:color w:val="58595B"/>
                <w:spacing w:val="-4"/>
                <w:sz w:val="17"/>
              </w:rPr>
              <w:t>fréquentation</w:t>
            </w:r>
          </w:p>
          <w:p>
            <w:pPr>
              <w:pStyle w:val="TableParagraph"/>
              <w:spacing w:line="198" w:lineRule="exact"/>
              <w:ind w:left="175"/>
              <w:rPr>
                <w:sz w:val="17"/>
              </w:rPr>
            </w:pPr>
            <w:r>
              <w:rPr>
                <w:color w:val="58595B"/>
                <w:sz w:val="17"/>
              </w:rPr>
              <w:t>de </w:t>
            </w:r>
            <w:r>
              <w:rPr>
                <w:color w:val="58595B"/>
                <w:spacing w:val="-4"/>
                <w:sz w:val="17"/>
              </w:rPr>
              <w:t>services d’EPE </w:t>
            </w:r>
            <w:r>
              <w:rPr>
                <w:color w:val="58595B"/>
                <w:spacing w:val="-3"/>
                <w:sz w:val="17"/>
              </w:rPr>
              <w:t>très </w:t>
            </w:r>
            <w:r>
              <w:rPr>
                <w:color w:val="58595B"/>
                <w:spacing w:val="-4"/>
                <w:sz w:val="17"/>
              </w:rPr>
              <w:t>divers. </w:t>
            </w:r>
            <w:r>
              <w:rPr>
                <w:color w:val="58595B"/>
                <w:spacing w:val="-8"/>
                <w:position w:val="-3"/>
                <w:sz w:val="17"/>
              </w:rPr>
              <w:drawing>
                <wp:inline distT="0" distB="0" distL="0" distR="0">
                  <wp:extent cx="527977" cy="139026"/>
                  <wp:effectExtent l="0" t="0" r="0" b="0"/>
                  <wp:docPr id="21" name="image11.png" descr=""/>
                  <wp:cNvGraphicFramePr>
                    <a:graphicFrameLocks noChangeAspect="1"/>
                  </wp:cNvGraphicFramePr>
                  <a:graphic>
                    <a:graphicData uri="http://schemas.openxmlformats.org/drawingml/2006/picture">
                      <pic:pic>
                        <pic:nvPicPr>
                          <pic:cNvPr id="22" name="image11.png"/>
                          <pic:cNvPicPr/>
                        </pic:nvPicPr>
                        <pic:blipFill>
                          <a:blip r:embed="rId20" cstate="print"/>
                          <a:stretch>
                            <a:fillRect/>
                          </a:stretch>
                        </pic:blipFill>
                        <pic:spPr>
                          <a:xfrm>
                            <a:off x="0" y="0"/>
                            <a:ext cx="527977" cy="139026"/>
                          </a:xfrm>
                          <a:prstGeom prst="rect">
                            <a:avLst/>
                          </a:prstGeom>
                        </pic:spPr>
                      </pic:pic>
                    </a:graphicData>
                  </a:graphic>
                </wp:inline>
              </w:drawing>
            </w:r>
            <w:r>
              <w:rPr>
                <w:color w:val="58595B"/>
                <w:spacing w:val="-8"/>
                <w:position w:val="-3"/>
                <w:sz w:val="17"/>
              </w:rPr>
            </w:r>
            <w:r>
              <w:rPr>
                <w:rFonts w:ascii="Times New Roman" w:hAnsi="Times New Roman"/>
                <w:color w:val="58595B"/>
                <w:spacing w:val="8"/>
                <w:sz w:val="17"/>
              </w:rPr>
              <w:t> </w:t>
            </w:r>
            <w:r>
              <w:rPr>
                <w:color w:val="58595B"/>
                <w:sz w:val="17"/>
              </w:rPr>
              <w:t>Le</w:t>
            </w:r>
            <w:r>
              <w:rPr>
                <w:color w:val="58595B"/>
                <w:spacing w:val="-34"/>
                <w:sz w:val="17"/>
              </w:rPr>
              <w:t> </w:t>
            </w:r>
            <w:r>
              <w:rPr>
                <w:color w:val="58595B"/>
                <w:spacing w:val="-3"/>
                <w:sz w:val="17"/>
              </w:rPr>
              <w:t>coût </w:t>
            </w:r>
            <w:r>
              <w:rPr>
                <w:color w:val="58595B"/>
                <w:spacing w:val="-4"/>
                <w:sz w:val="17"/>
              </w:rPr>
              <w:t>unitaire des</w:t>
            </w:r>
          </w:p>
          <w:p>
            <w:pPr>
              <w:pStyle w:val="TableParagraph"/>
              <w:spacing w:line="271" w:lineRule="auto" w:before="20"/>
              <w:ind w:left="175" w:right="100"/>
              <w:rPr>
                <w:sz w:val="17"/>
              </w:rPr>
            </w:pPr>
            <w:r>
              <w:rPr>
                <w:color w:val="58595B"/>
                <w:spacing w:val="-4"/>
                <w:sz w:val="17"/>
              </w:rPr>
              <w:t>établissements scolaires indépendants </w:t>
            </w:r>
            <w:r>
              <w:rPr>
                <w:color w:val="58595B"/>
                <w:spacing w:val="-3"/>
                <w:sz w:val="17"/>
              </w:rPr>
              <w:t>peut être </w:t>
            </w:r>
            <w:r>
              <w:rPr>
                <w:color w:val="58595B"/>
                <w:spacing w:val="-4"/>
                <w:sz w:val="17"/>
              </w:rPr>
              <w:t>différent </w:t>
            </w:r>
            <w:r>
              <w:rPr>
                <w:color w:val="58595B"/>
                <w:sz w:val="17"/>
              </w:rPr>
              <w:t>de </w:t>
            </w:r>
            <w:r>
              <w:rPr>
                <w:color w:val="58595B"/>
                <w:spacing w:val="-4"/>
                <w:sz w:val="17"/>
              </w:rPr>
              <w:t>celui des classes d’EPE rattachées </w:t>
            </w:r>
            <w:r>
              <w:rPr>
                <w:color w:val="58595B"/>
                <w:sz w:val="17"/>
              </w:rPr>
              <w:t>à </w:t>
            </w:r>
            <w:r>
              <w:rPr>
                <w:color w:val="58595B"/>
                <w:spacing w:val="-3"/>
                <w:sz w:val="17"/>
              </w:rPr>
              <w:t>une </w:t>
            </w:r>
            <w:r>
              <w:rPr>
                <w:color w:val="58595B"/>
                <w:spacing w:val="-4"/>
                <w:sz w:val="17"/>
              </w:rPr>
              <w:t>école primaire, </w:t>
            </w:r>
            <w:r>
              <w:rPr>
                <w:color w:val="58595B"/>
                <w:sz w:val="17"/>
              </w:rPr>
              <w:t>ou </w:t>
            </w:r>
            <w:r>
              <w:rPr>
                <w:color w:val="58595B"/>
                <w:spacing w:val="-4"/>
                <w:sz w:val="17"/>
              </w:rPr>
              <w:t>certains services d’EPE peuvent fonctionner selon </w:t>
            </w:r>
            <w:r>
              <w:rPr>
                <w:color w:val="58595B"/>
                <w:spacing w:val="-3"/>
                <w:sz w:val="17"/>
              </w:rPr>
              <w:t>des </w:t>
            </w:r>
            <w:r>
              <w:rPr>
                <w:color w:val="58595B"/>
                <w:spacing w:val="-4"/>
                <w:sz w:val="17"/>
              </w:rPr>
              <w:t>calendriers </w:t>
            </w:r>
            <w:r>
              <w:rPr>
                <w:color w:val="58595B"/>
                <w:sz w:val="17"/>
              </w:rPr>
              <w:t>et </w:t>
            </w:r>
            <w:r>
              <w:rPr>
                <w:color w:val="58595B"/>
                <w:spacing w:val="-3"/>
                <w:sz w:val="17"/>
              </w:rPr>
              <w:t>des </w:t>
            </w:r>
            <w:r>
              <w:rPr>
                <w:color w:val="58595B"/>
                <w:spacing w:val="-4"/>
                <w:sz w:val="17"/>
              </w:rPr>
              <w:t>rythmes différents (journée entière/matinée).</w:t>
            </w:r>
          </w:p>
          <w:p>
            <w:pPr>
              <w:pStyle w:val="TableParagraph"/>
              <w:spacing w:line="271" w:lineRule="auto" w:before="110"/>
              <w:ind w:left="175" w:right="100"/>
              <w:rPr>
                <w:sz w:val="17"/>
              </w:rPr>
            </w:pPr>
            <w:r>
              <w:rPr>
                <w:color w:val="58595B"/>
                <w:spacing w:val="-4"/>
                <w:sz w:val="17"/>
              </w:rPr>
              <w:t>Lorsque </w:t>
            </w:r>
            <w:r>
              <w:rPr>
                <w:color w:val="58595B"/>
                <w:spacing w:val="-3"/>
                <w:sz w:val="17"/>
              </w:rPr>
              <w:t>les </w:t>
            </w:r>
            <w:r>
              <w:rPr>
                <w:color w:val="58595B"/>
                <w:spacing w:val="-4"/>
                <w:sz w:val="17"/>
              </w:rPr>
              <w:t>prestataires </w:t>
            </w:r>
            <w:r>
              <w:rPr>
                <w:color w:val="58595B"/>
                <w:sz w:val="17"/>
              </w:rPr>
              <w:t>de </w:t>
            </w:r>
            <w:r>
              <w:rPr>
                <w:color w:val="58595B"/>
                <w:spacing w:val="-4"/>
                <w:sz w:val="17"/>
              </w:rPr>
              <w:t>services communautaires </w:t>
            </w:r>
            <w:r>
              <w:rPr>
                <w:color w:val="58595B"/>
                <w:sz w:val="17"/>
              </w:rPr>
              <w:t>ou </w:t>
            </w:r>
            <w:r>
              <w:rPr>
                <w:color w:val="58595B"/>
                <w:spacing w:val="-4"/>
                <w:sz w:val="17"/>
              </w:rPr>
              <w:t>privés reçoivent </w:t>
            </w:r>
            <w:r>
              <w:rPr>
                <w:color w:val="58595B"/>
                <w:spacing w:val="-3"/>
                <w:sz w:val="17"/>
              </w:rPr>
              <w:t>des </w:t>
            </w:r>
            <w:r>
              <w:rPr>
                <w:color w:val="58595B"/>
                <w:spacing w:val="-4"/>
                <w:sz w:val="17"/>
              </w:rPr>
              <w:t>aides </w:t>
            </w:r>
            <w:r>
              <w:rPr>
                <w:color w:val="58595B"/>
                <w:sz w:val="17"/>
              </w:rPr>
              <w:t>ou </w:t>
            </w:r>
            <w:r>
              <w:rPr>
                <w:color w:val="58595B"/>
                <w:spacing w:val="-3"/>
                <w:sz w:val="17"/>
              </w:rPr>
              <w:t>des </w:t>
            </w:r>
            <w:r>
              <w:rPr>
                <w:color w:val="58595B"/>
                <w:spacing w:val="-4"/>
                <w:sz w:val="17"/>
              </w:rPr>
              <w:t>subventions, </w:t>
            </w:r>
            <w:r>
              <w:rPr>
                <w:color w:val="58595B"/>
                <w:sz w:val="17"/>
              </w:rPr>
              <w:t>ou </w:t>
            </w:r>
            <w:r>
              <w:rPr>
                <w:color w:val="58595B"/>
                <w:spacing w:val="-4"/>
                <w:sz w:val="17"/>
              </w:rPr>
              <w:t>lorsque </w:t>
            </w:r>
            <w:r>
              <w:rPr>
                <w:color w:val="58595B"/>
                <w:sz w:val="17"/>
              </w:rPr>
              <w:t>le </w:t>
            </w:r>
            <w:r>
              <w:rPr>
                <w:color w:val="58595B"/>
                <w:spacing w:val="-4"/>
                <w:sz w:val="17"/>
              </w:rPr>
              <w:t>gouvernement rémunère </w:t>
            </w:r>
            <w:r>
              <w:rPr>
                <w:color w:val="58595B"/>
                <w:sz w:val="17"/>
              </w:rPr>
              <w:t>la </w:t>
            </w:r>
            <w:r>
              <w:rPr>
                <w:color w:val="58595B"/>
                <w:spacing w:val="-4"/>
                <w:sz w:val="17"/>
              </w:rPr>
              <w:t>totalité </w:t>
            </w:r>
            <w:r>
              <w:rPr>
                <w:color w:val="58595B"/>
                <w:sz w:val="17"/>
              </w:rPr>
              <w:t>ou </w:t>
            </w:r>
            <w:r>
              <w:rPr>
                <w:color w:val="58595B"/>
                <w:spacing w:val="-3"/>
                <w:sz w:val="17"/>
              </w:rPr>
              <w:t>une </w:t>
            </w:r>
            <w:r>
              <w:rPr>
                <w:color w:val="58595B"/>
                <w:spacing w:val="-4"/>
                <w:sz w:val="17"/>
              </w:rPr>
              <w:t>partie </w:t>
            </w:r>
            <w:r>
              <w:rPr>
                <w:color w:val="58595B"/>
                <w:spacing w:val="-3"/>
                <w:sz w:val="17"/>
              </w:rPr>
              <w:t>des </w:t>
            </w:r>
            <w:r>
              <w:rPr>
                <w:color w:val="58595B"/>
                <w:spacing w:val="-4"/>
                <w:sz w:val="17"/>
              </w:rPr>
              <w:t>enseignants </w:t>
            </w:r>
            <w:r>
              <w:rPr>
                <w:color w:val="58595B"/>
                <w:sz w:val="17"/>
              </w:rPr>
              <w:t>de </w:t>
            </w:r>
            <w:r>
              <w:rPr>
                <w:color w:val="58595B"/>
                <w:spacing w:val="-4"/>
                <w:sz w:val="17"/>
              </w:rPr>
              <w:t>ces établissements, </w:t>
            </w:r>
            <w:r>
              <w:rPr>
                <w:color w:val="58595B"/>
                <w:sz w:val="17"/>
              </w:rPr>
              <w:t>il </w:t>
            </w:r>
            <w:r>
              <w:rPr>
                <w:color w:val="58595B"/>
                <w:spacing w:val="-3"/>
                <w:sz w:val="17"/>
              </w:rPr>
              <w:t>peut </w:t>
            </w:r>
            <w:r>
              <w:rPr>
                <w:color w:val="58595B"/>
                <w:spacing w:val="-4"/>
                <w:sz w:val="17"/>
              </w:rPr>
              <w:t>également </w:t>
            </w:r>
            <w:r>
              <w:rPr>
                <w:color w:val="58595B"/>
                <w:spacing w:val="-3"/>
                <w:sz w:val="17"/>
              </w:rPr>
              <w:t>être </w:t>
            </w:r>
            <w:r>
              <w:rPr>
                <w:color w:val="58595B"/>
                <w:spacing w:val="-4"/>
                <w:sz w:val="17"/>
              </w:rPr>
              <w:t>intéressant </w:t>
            </w:r>
            <w:r>
              <w:rPr>
                <w:color w:val="58595B"/>
                <w:sz w:val="17"/>
              </w:rPr>
              <w:t>de </w:t>
            </w:r>
            <w:r>
              <w:rPr>
                <w:color w:val="58595B"/>
                <w:spacing w:val="-4"/>
                <w:sz w:val="17"/>
              </w:rPr>
              <w:t>comparer</w:t>
            </w:r>
          </w:p>
          <w:p>
            <w:pPr>
              <w:pStyle w:val="TableParagraph"/>
              <w:spacing w:line="271" w:lineRule="auto"/>
              <w:ind w:left="175" w:right="384"/>
              <w:rPr>
                <w:sz w:val="17"/>
              </w:rPr>
            </w:pPr>
            <w:r>
              <w:rPr>
                <w:color w:val="58595B"/>
                <w:sz w:val="17"/>
              </w:rPr>
              <w:t>le </w:t>
            </w:r>
            <w:r>
              <w:rPr>
                <w:color w:val="58595B"/>
                <w:spacing w:val="-3"/>
                <w:sz w:val="17"/>
              </w:rPr>
              <w:t>coût </w:t>
            </w:r>
            <w:r>
              <w:rPr>
                <w:color w:val="58595B"/>
                <w:spacing w:val="-4"/>
                <w:sz w:val="17"/>
              </w:rPr>
              <w:t>public </w:t>
            </w:r>
            <w:r>
              <w:rPr>
                <w:color w:val="58595B"/>
                <w:sz w:val="17"/>
              </w:rPr>
              <w:t>de </w:t>
            </w:r>
            <w:r>
              <w:rPr>
                <w:color w:val="58595B"/>
                <w:spacing w:val="-4"/>
                <w:sz w:val="17"/>
              </w:rPr>
              <w:t>scolarisation </w:t>
            </w:r>
            <w:r>
              <w:rPr>
                <w:color w:val="58595B"/>
                <w:spacing w:val="-3"/>
                <w:sz w:val="17"/>
              </w:rPr>
              <w:t>d’un </w:t>
            </w:r>
            <w:r>
              <w:rPr>
                <w:color w:val="58595B"/>
                <w:spacing w:val="-4"/>
                <w:sz w:val="17"/>
              </w:rPr>
              <w:t>enfant bénéficiant </w:t>
            </w:r>
            <w:r>
              <w:rPr>
                <w:color w:val="58595B"/>
                <w:sz w:val="17"/>
              </w:rPr>
              <w:t>de ce </w:t>
            </w:r>
            <w:r>
              <w:rPr>
                <w:color w:val="58595B"/>
                <w:spacing w:val="-4"/>
                <w:sz w:val="17"/>
              </w:rPr>
              <w:t>type </w:t>
            </w:r>
            <w:r>
              <w:rPr>
                <w:color w:val="58595B"/>
                <w:sz w:val="17"/>
              </w:rPr>
              <w:t>de </w:t>
            </w:r>
            <w:r>
              <w:rPr>
                <w:color w:val="58595B"/>
                <w:spacing w:val="-4"/>
                <w:sz w:val="17"/>
              </w:rPr>
              <w:t>services </w:t>
            </w:r>
            <w:r>
              <w:rPr>
                <w:color w:val="58595B"/>
                <w:sz w:val="17"/>
              </w:rPr>
              <w:t>au </w:t>
            </w:r>
            <w:r>
              <w:rPr>
                <w:color w:val="58595B"/>
                <w:spacing w:val="-3"/>
                <w:sz w:val="17"/>
              </w:rPr>
              <w:t>coût </w:t>
            </w:r>
            <w:r>
              <w:rPr>
                <w:color w:val="58595B"/>
                <w:sz w:val="17"/>
              </w:rPr>
              <w:t>de </w:t>
            </w:r>
            <w:r>
              <w:rPr>
                <w:color w:val="58595B"/>
                <w:spacing w:val="-4"/>
                <w:sz w:val="17"/>
              </w:rPr>
              <w:t>scolarisation </w:t>
            </w:r>
            <w:r>
              <w:rPr>
                <w:color w:val="58595B"/>
                <w:spacing w:val="-3"/>
                <w:sz w:val="17"/>
              </w:rPr>
              <w:t>d’un </w:t>
            </w:r>
            <w:r>
              <w:rPr>
                <w:color w:val="58595B"/>
                <w:spacing w:val="-4"/>
                <w:sz w:val="17"/>
              </w:rPr>
              <w:t>enfant bénéficiant des services publics </w:t>
            </w:r>
            <w:r>
              <w:rPr>
                <w:color w:val="58595B"/>
                <w:spacing w:val="-3"/>
                <w:sz w:val="17"/>
              </w:rPr>
              <w:t>(si les </w:t>
            </w:r>
            <w:r>
              <w:rPr>
                <w:color w:val="58595B"/>
                <w:spacing w:val="-4"/>
                <w:sz w:val="17"/>
              </w:rPr>
              <w:t>conditions </w:t>
            </w:r>
            <w:r>
              <w:rPr>
                <w:color w:val="58595B"/>
                <w:sz w:val="17"/>
              </w:rPr>
              <w:t>et </w:t>
            </w:r>
            <w:r>
              <w:rPr>
                <w:color w:val="58595B"/>
                <w:spacing w:val="-3"/>
                <w:sz w:val="17"/>
              </w:rPr>
              <w:t>les </w:t>
            </w:r>
            <w:r>
              <w:rPr>
                <w:color w:val="58595B"/>
                <w:spacing w:val="-4"/>
                <w:sz w:val="17"/>
              </w:rPr>
              <w:t>résultats d’apprentissage </w:t>
            </w:r>
            <w:r>
              <w:rPr>
                <w:color w:val="58595B"/>
                <w:spacing w:val="-3"/>
                <w:sz w:val="17"/>
              </w:rPr>
              <w:t>sont </w:t>
            </w:r>
            <w:r>
              <w:rPr>
                <w:color w:val="58595B"/>
                <w:spacing w:val="-4"/>
                <w:sz w:val="17"/>
              </w:rPr>
              <w:t>satisfaisants, </w:t>
            </w:r>
            <w:r>
              <w:rPr>
                <w:color w:val="58595B"/>
                <w:spacing w:val="-3"/>
                <w:sz w:val="17"/>
              </w:rPr>
              <w:t>ces </w:t>
            </w:r>
            <w:r>
              <w:rPr>
                <w:color w:val="58595B"/>
                <w:spacing w:val="-4"/>
                <w:sz w:val="17"/>
              </w:rPr>
              <w:t>services peuvent constituer </w:t>
            </w:r>
            <w:r>
              <w:rPr>
                <w:color w:val="58595B"/>
                <w:spacing w:val="-3"/>
                <w:sz w:val="17"/>
              </w:rPr>
              <w:t>des </w:t>
            </w:r>
            <w:r>
              <w:rPr>
                <w:color w:val="58595B"/>
                <w:spacing w:val="-4"/>
                <w:sz w:val="17"/>
              </w:rPr>
              <w:t>solutions intéressantes </w:t>
            </w:r>
            <w:r>
              <w:rPr>
                <w:color w:val="58595B"/>
                <w:spacing w:val="-3"/>
                <w:sz w:val="17"/>
              </w:rPr>
              <w:t>pour </w:t>
            </w:r>
            <w:r>
              <w:rPr>
                <w:color w:val="58595B"/>
                <w:spacing w:val="-4"/>
                <w:sz w:val="17"/>
              </w:rPr>
              <w:t>accroître </w:t>
            </w:r>
            <w:r>
              <w:rPr>
                <w:color w:val="58595B"/>
                <w:sz w:val="17"/>
              </w:rPr>
              <w:t>la </w:t>
            </w:r>
            <w:r>
              <w:rPr>
                <w:color w:val="58595B"/>
                <w:spacing w:val="-4"/>
                <w:sz w:val="17"/>
              </w:rPr>
              <w:t>couverture).</w:t>
            </w:r>
          </w:p>
        </w:tc>
      </w:tr>
    </w:tbl>
    <w:p>
      <w:pPr>
        <w:spacing w:after="0" w:line="271" w:lineRule="auto"/>
        <w:rPr>
          <w:sz w:val="17"/>
        </w:rPr>
        <w:sectPr>
          <w:headerReference w:type="default" r:id="rId17"/>
          <w:pgSz w:w="15840" w:h="12240" w:orient="landscape"/>
          <w:pgMar w:header="314" w:footer="0" w:top="500" w:bottom="280" w:left="600" w:right="340"/>
          <w:pgNumType w:start="4"/>
        </w:sectPr>
      </w:pPr>
    </w:p>
    <w:p>
      <w:pPr>
        <w:pStyle w:val="BodyText"/>
        <w:spacing w:before="1"/>
        <w:rPr>
          <w:rFonts w:ascii="Times New Roman"/>
          <w:sz w:val="3"/>
        </w:rPr>
      </w:pPr>
    </w:p>
    <w:tbl>
      <w:tblPr>
        <w:tblW w:w="0" w:type="auto"/>
        <w:jc w:val="left"/>
        <w:tblInd w:w="25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9"/>
        <w:gridCol w:w="1744"/>
        <w:gridCol w:w="3208"/>
        <w:gridCol w:w="2172"/>
        <w:gridCol w:w="5345"/>
      </w:tblGrid>
      <w:tr>
        <w:trPr>
          <w:trHeight w:val="491" w:hRule="atLeast"/>
        </w:trPr>
        <w:tc>
          <w:tcPr>
            <w:tcW w:w="1929" w:type="dxa"/>
            <w:tcBorders>
              <w:left w:val="nil"/>
              <w:right w:val="nil"/>
            </w:tcBorders>
          </w:tcPr>
          <w:p>
            <w:pPr>
              <w:pStyle w:val="TableParagraph"/>
              <w:spacing w:before="142"/>
              <w:ind w:left="547"/>
              <w:rPr>
                <w:b/>
                <w:sz w:val="18"/>
              </w:rPr>
            </w:pPr>
            <w:r>
              <w:rPr>
                <w:b/>
                <w:color w:val="58595B"/>
                <w:sz w:val="18"/>
              </w:rPr>
              <w:t>Indicateur</w:t>
            </w:r>
          </w:p>
        </w:tc>
        <w:tc>
          <w:tcPr>
            <w:tcW w:w="1744" w:type="dxa"/>
            <w:tcBorders>
              <w:left w:val="nil"/>
              <w:right w:val="nil"/>
            </w:tcBorders>
          </w:tcPr>
          <w:p>
            <w:pPr>
              <w:pStyle w:val="TableParagraph"/>
              <w:spacing w:before="142"/>
              <w:ind w:left="484"/>
              <w:rPr>
                <w:b/>
                <w:sz w:val="18"/>
              </w:rPr>
            </w:pPr>
            <w:r>
              <w:rPr>
                <w:b/>
                <w:color w:val="58595B"/>
                <w:sz w:val="18"/>
              </w:rPr>
              <w:t>Variantes</w:t>
            </w:r>
          </w:p>
        </w:tc>
        <w:tc>
          <w:tcPr>
            <w:tcW w:w="3208" w:type="dxa"/>
            <w:tcBorders>
              <w:left w:val="nil"/>
              <w:right w:val="nil"/>
            </w:tcBorders>
          </w:tcPr>
          <w:p>
            <w:pPr>
              <w:pStyle w:val="TableParagraph"/>
              <w:spacing w:before="142"/>
              <w:ind w:left="1176" w:right="1161"/>
              <w:jc w:val="center"/>
              <w:rPr>
                <w:b/>
                <w:sz w:val="18"/>
              </w:rPr>
            </w:pPr>
            <w:r>
              <w:rPr>
                <w:b/>
                <w:color w:val="58595B"/>
                <w:sz w:val="18"/>
              </w:rPr>
              <w:t>Définition</w:t>
            </w:r>
          </w:p>
        </w:tc>
        <w:tc>
          <w:tcPr>
            <w:tcW w:w="2172" w:type="dxa"/>
            <w:tcBorders>
              <w:left w:val="nil"/>
              <w:right w:val="nil"/>
            </w:tcBorders>
          </w:tcPr>
          <w:p>
            <w:pPr>
              <w:pStyle w:val="TableParagraph"/>
              <w:spacing w:line="232" w:lineRule="auto" w:before="47"/>
              <w:ind w:left="138" w:right="103" w:firstLine="409"/>
              <w:rPr>
                <w:b/>
                <w:sz w:val="18"/>
              </w:rPr>
            </w:pPr>
            <w:r>
              <w:rPr>
                <w:b/>
                <w:color w:val="58595B"/>
                <w:sz w:val="18"/>
              </w:rPr>
              <w:t>Source(s) de données potentielle(s)</w:t>
            </w:r>
          </w:p>
        </w:tc>
        <w:tc>
          <w:tcPr>
            <w:tcW w:w="5345" w:type="dxa"/>
            <w:tcBorders>
              <w:left w:val="nil"/>
              <w:right w:val="nil"/>
            </w:tcBorders>
          </w:tcPr>
          <w:p>
            <w:pPr>
              <w:pStyle w:val="TableParagraph"/>
              <w:spacing w:before="142"/>
              <w:ind w:left="2086" w:right="2065"/>
              <w:jc w:val="center"/>
              <w:rPr>
                <w:b/>
                <w:sz w:val="18"/>
              </w:rPr>
            </w:pPr>
            <w:r>
              <w:rPr>
                <w:b/>
                <w:color w:val="58595B"/>
                <w:sz w:val="18"/>
              </w:rPr>
              <w:t>Observations</w:t>
            </w:r>
          </w:p>
        </w:tc>
      </w:tr>
      <w:tr>
        <w:trPr>
          <w:trHeight w:val="7174" w:hRule="atLeast"/>
        </w:trPr>
        <w:tc>
          <w:tcPr>
            <w:tcW w:w="1929"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1744"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71" w:lineRule="auto" w:before="109"/>
              <w:ind w:left="175" w:right="177"/>
              <w:rPr>
                <w:sz w:val="17"/>
              </w:rPr>
            </w:pPr>
            <w:r>
              <w:rPr>
                <w:color w:val="58595B"/>
                <w:sz w:val="17"/>
              </w:rPr>
              <w:t>Par prestataire de services</w:t>
            </w:r>
          </w:p>
        </w:tc>
        <w:tc>
          <w:tcPr>
            <w:tcW w:w="3208"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2172" w:type="dxa"/>
            <w:tcBorders>
              <w:left w:val="single" w:sz="8" w:space="0" w:color="FFFFFF"/>
              <w:bottom w:val="single" w:sz="8" w:space="0" w:color="FFFFFF"/>
              <w:right w:val="single" w:sz="8" w:space="0" w:color="FFFFFF"/>
            </w:tcBorders>
            <w:shd w:val="clear" w:color="auto" w:fill="FEEDD2"/>
          </w:tcPr>
          <w:p>
            <w:pPr>
              <w:pStyle w:val="TableParagraph"/>
              <w:rPr>
                <w:rFonts w:ascii="Times New Roman"/>
                <w:sz w:val="16"/>
              </w:rPr>
            </w:pPr>
          </w:p>
        </w:tc>
        <w:tc>
          <w:tcPr>
            <w:tcW w:w="5345" w:type="dxa"/>
            <w:tcBorders>
              <w:left w:val="single" w:sz="8" w:space="0" w:color="FFFFFF"/>
              <w:bottom w:val="single" w:sz="8" w:space="0" w:color="FFFFFF"/>
              <w:right w:val="single" w:sz="8" w:space="0" w:color="FFFFFF"/>
            </w:tcBorders>
            <w:shd w:val="clear" w:color="auto" w:fill="FEEDD2"/>
          </w:tcPr>
          <w:p>
            <w:pPr>
              <w:pStyle w:val="TableParagraph"/>
              <w:spacing w:before="9"/>
              <w:rPr>
                <w:rFonts w:ascii="Times New Roman"/>
                <w:sz w:val="19"/>
              </w:rPr>
            </w:pPr>
          </w:p>
          <w:p>
            <w:pPr>
              <w:pStyle w:val="TableParagraph"/>
              <w:spacing w:line="271" w:lineRule="auto"/>
              <w:ind w:left="170" w:right="174"/>
              <w:rPr>
                <w:sz w:val="17"/>
              </w:rPr>
            </w:pPr>
            <w:r>
              <w:rPr>
                <w:color w:val="58595B"/>
                <w:sz w:val="17"/>
              </w:rPr>
              <w:t>Ici, l’idée est de comparer le coût unitaire de l’EPE pour le ministère de l’éducation à celui des services d’EPE fournis par d’autres ministères, le cas échéant. Cet indicateur peut nécessiter la réalisation d’une enquête spécifique afin de mieux comprendre quels services d’EPE sont financés par d’autres institutions (ministères, organismes privés ou institutions communautaires).</w:t>
            </w:r>
          </w:p>
          <w:p>
            <w:pPr>
              <w:pStyle w:val="TableParagraph"/>
              <w:spacing w:line="268" w:lineRule="auto" w:before="89"/>
              <w:ind w:left="170" w:right="248"/>
              <w:rPr>
                <w:sz w:val="17"/>
              </w:rPr>
            </w:pPr>
            <w:r>
              <w:rPr>
                <w:position w:val="-3"/>
              </w:rPr>
              <w:drawing>
                <wp:inline distT="0" distB="0" distL="0" distR="0">
                  <wp:extent cx="527977" cy="139026"/>
                  <wp:effectExtent l="0" t="0" r="0" b="0"/>
                  <wp:docPr id="23" name="image12.png" descr=""/>
                  <wp:cNvGraphicFramePr>
                    <a:graphicFrameLocks noChangeAspect="1"/>
                  </wp:cNvGraphicFramePr>
                  <a:graphic>
                    <a:graphicData uri="http://schemas.openxmlformats.org/drawingml/2006/picture">
                      <pic:pic>
                        <pic:nvPicPr>
                          <pic:cNvPr id="24" name="image12.png"/>
                          <pic:cNvPicPr/>
                        </pic:nvPicPr>
                        <pic:blipFill>
                          <a:blip r:embed="rId21" cstate="print"/>
                          <a:stretch>
                            <a:fillRect/>
                          </a:stretch>
                        </pic:blipFill>
                        <pic:spPr>
                          <a:xfrm>
                            <a:off x="0" y="0"/>
                            <a:ext cx="527977" cy="139026"/>
                          </a:xfrm>
                          <a:prstGeom prst="rect">
                            <a:avLst/>
                          </a:prstGeom>
                        </pic:spPr>
                      </pic:pic>
                    </a:graphicData>
                  </a:graphic>
                </wp:inline>
              </w:drawing>
            </w:r>
            <w:r>
              <w:rPr>
                <w:position w:val="-3"/>
              </w:rPr>
            </w:r>
            <w:r>
              <w:rPr>
                <w:rFonts w:ascii="Times New Roman" w:hAnsi="Times New Roman"/>
                <w:sz w:val="20"/>
              </w:rPr>
              <w:t> </w:t>
            </w:r>
            <w:r>
              <w:rPr>
                <w:rFonts w:ascii="Times New Roman" w:hAnsi="Times New Roman"/>
                <w:spacing w:val="-12"/>
                <w:sz w:val="20"/>
              </w:rPr>
              <w:t> </w:t>
            </w:r>
            <w:r>
              <w:rPr>
                <w:color w:val="58595B"/>
                <w:sz w:val="17"/>
              </w:rPr>
              <w:t>Selon les pays, certains services d’EPE peuvent être fournis par le ministère de la protection sociale, le ministère de la santé, des prestataires de services communautaires ou privés, ou des organismes de coordination en cas de crise intervenant notamment à destination de certaines populations cibles en fonction de leur vulnérabilité : genre, situation géographique (éloignement), handicap, enfants orphelins, richesse du ménage, composition du ménage (par exemple, familles monoparentales), groupes minoritaires (minorités ethniques ou linguistiques), populations touchées par les conflits et les crises (migrants, immigrés, personnes déplacées ou réfugiées), etc. Ces informations peuvent être obtenues auprès du département des ressources humaines ou du service de paie de chaque ministère, ou auprès du ministère des finances ou de la</w:t>
            </w:r>
            <w:r>
              <w:rPr>
                <w:color w:val="58595B"/>
                <w:spacing w:val="-19"/>
                <w:sz w:val="17"/>
              </w:rPr>
              <w:t> </w:t>
            </w:r>
            <w:r>
              <w:rPr>
                <w:color w:val="58595B"/>
                <w:sz w:val="17"/>
              </w:rPr>
              <w:t>planification.</w:t>
            </w:r>
          </w:p>
          <w:p>
            <w:pPr>
              <w:pStyle w:val="TableParagraph"/>
              <w:spacing w:line="266" w:lineRule="auto" w:before="121"/>
              <w:ind w:left="170" w:right="250"/>
              <w:rPr>
                <w:sz w:val="17"/>
              </w:rPr>
            </w:pPr>
            <w:r>
              <w:rPr>
                <w:color w:val="58595B"/>
                <w:sz w:val="17"/>
              </w:rPr>
              <w:t>Cette comparaison peut mettre en évidence les gains d’efficacité de certains modèles, </w:t>
            </w:r>
            <w:r>
              <w:rPr>
                <w:color w:val="58595B"/>
                <w:position w:val="-3"/>
                <w:sz w:val="17"/>
              </w:rPr>
              <w:drawing>
                <wp:inline distT="0" distB="0" distL="0" distR="0">
                  <wp:extent cx="527964" cy="139026"/>
                  <wp:effectExtent l="0" t="0" r="0" b="0"/>
                  <wp:docPr id="25" name="image13.png" descr=""/>
                  <wp:cNvGraphicFramePr>
                    <a:graphicFrameLocks noChangeAspect="1"/>
                  </wp:cNvGraphicFramePr>
                  <a:graphic>
                    <a:graphicData uri="http://schemas.openxmlformats.org/drawingml/2006/picture">
                      <pic:pic>
                        <pic:nvPicPr>
                          <pic:cNvPr id="26" name="image13.png"/>
                          <pic:cNvPicPr/>
                        </pic:nvPicPr>
                        <pic:blipFill>
                          <a:blip r:embed="rId22" cstate="print"/>
                          <a:stretch>
                            <a:fillRect/>
                          </a:stretch>
                        </pic:blipFill>
                        <pic:spPr>
                          <a:xfrm>
                            <a:off x="0" y="0"/>
                            <a:ext cx="527964" cy="139026"/>
                          </a:xfrm>
                          <a:prstGeom prst="rect">
                            <a:avLst/>
                          </a:prstGeom>
                        </pic:spPr>
                      </pic:pic>
                    </a:graphicData>
                  </a:graphic>
                </wp:inline>
              </w:drawing>
            </w:r>
            <w:r>
              <w:rPr>
                <w:color w:val="58595B"/>
                <w:position w:val="-3"/>
                <w:sz w:val="17"/>
              </w:rPr>
            </w:r>
            <w:r>
              <w:rPr>
                <w:rFonts w:ascii="Times New Roman" w:hAnsi="Times New Roman"/>
                <w:color w:val="58595B"/>
                <w:sz w:val="17"/>
              </w:rPr>
              <w:t> </w:t>
            </w:r>
            <w:r>
              <w:rPr>
                <w:rFonts w:ascii="Times New Roman" w:hAnsi="Times New Roman"/>
                <w:color w:val="58595B"/>
                <w:spacing w:val="3"/>
                <w:sz w:val="17"/>
              </w:rPr>
              <w:t> </w:t>
            </w:r>
            <w:r>
              <w:rPr>
                <w:color w:val="58595B"/>
                <w:sz w:val="17"/>
              </w:rPr>
              <w:t>à l’instar des modèles de prestation de services qui utilisent des infrastructures moins coûteuses, font appel à des profils d’enseignant différents ou fonctionnent avec des effectifs de classe plus importants tout en obtenant des résultats d’apprentissage similaires. Pour</w:t>
            </w:r>
            <w:r>
              <w:rPr>
                <w:color w:val="58595B"/>
                <w:spacing w:val="-24"/>
                <w:sz w:val="17"/>
              </w:rPr>
              <w:t> </w:t>
            </w:r>
            <w:r>
              <w:rPr>
                <w:color w:val="58595B"/>
                <w:sz w:val="17"/>
              </w:rPr>
              <w:t>connaître les autres indicateurs permettant de comparer les différents modèles de service, leurs prestataires et leurs résultats (lesquels peuvent être résumés dans des rapports d’études thématiques), veuillez vous reporter à l’</w:t>
            </w:r>
            <w:hyperlink r:id="rId23">
              <w:r>
                <w:rPr>
                  <w:color w:val="58595B"/>
                  <w:sz w:val="17"/>
                  <w:u w:val="single" w:color="58595B"/>
                </w:rPr>
                <w:t>outil</w:t>
              </w:r>
              <w:r>
                <w:rPr>
                  <w:color w:val="58595B"/>
                  <w:spacing w:val="-2"/>
                  <w:sz w:val="17"/>
                  <w:u w:val="single" w:color="58595B"/>
                </w:rPr>
                <w:t> </w:t>
              </w:r>
              <w:r>
                <w:rPr>
                  <w:color w:val="58595B"/>
                  <w:sz w:val="17"/>
                  <w:u w:val="single" w:color="58595B"/>
                </w:rPr>
                <w:t>2.1</w:t>
              </w:r>
            </w:hyperlink>
            <w:r>
              <w:rPr>
                <w:color w:val="58595B"/>
                <w:sz w:val="17"/>
              </w:rPr>
              <w:t>.</w:t>
            </w:r>
          </w:p>
        </w:tc>
      </w:tr>
      <w:tr>
        <w:trPr>
          <w:trHeight w:val="1383" w:hRule="atLeast"/>
        </w:trPr>
        <w:tc>
          <w:tcPr>
            <w:tcW w:w="1929" w:type="dxa"/>
            <w:vMerge w:val="restart"/>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before="10"/>
              <w:rPr>
                <w:rFonts w:ascii="Times New Roman"/>
                <w:sz w:val="13"/>
              </w:rPr>
            </w:pPr>
          </w:p>
          <w:p>
            <w:pPr>
              <w:pStyle w:val="TableParagraph"/>
              <w:spacing w:line="213" w:lineRule="exact"/>
              <w:ind w:left="108"/>
              <w:rPr>
                <w:rFonts w:ascii="Times New Roman"/>
                <w:sz w:val="20"/>
              </w:rPr>
            </w:pPr>
            <w:r>
              <w:rPr>
                <w:rFonts w:ascii="Times New Roman"/>
                <w:position w:val="-3"/>
                <w:sz w:val="20"/>
              </w:rPr>
              <w:drawing>
                <wp:inline distT="0" distB="0" distL="0" distR="0">
                  <wp:extent cx="947553" cy="135350"/>
                  <wp:effectExtent l="0" t="0" r="0" b="0"/>
                  <wp:docPr id="27" name="image14.png" descr=""/>
                  <wp:cNvGraphicFramePr>
                    <a:graphicFrameLocks noChangeAspect="1"/>
                  </wp:cNvGraphicFramePr>
                  <a:graphic>
                    <a:graphicData uri="http://schemas.openxmlformats.org/drawingml/2006/picture">
                      <pic:pic>
                        <pic:nvPicPr>
                          <pic:cNvPr id="28" name="image14.png"/>
                          <pic:cNvPicPr/>
                        </pic:nvPicPr>
                        <pic:blipFill>
                          <a:blip r:embed="rId24" cstate="print"/>
                          <a:stretch>
                            <a:fillRect/>
                          </a:stretch>
                        </pic:blipFill>
                        <pic:spPr>
                          <a:xfrm>
                            <a:off x="0" y="0"/>
                            <a:ext cx="947553" cy="135350"/>
                          </a:xfrm>
                          <a:prstGeom prst="rect">
                            <a:avLst/>
                          </a:prstGeom>
                        </pic:spPr>
                      </pic:pic>
                    </a:graphicData>
                  </a:graphic>
                </wp:inline>
              </w:drawing>
            </w:r>
            <w:r>
              <w:rPr>
                <w:rFonts w:ascii="Times New Roman"/>
                <w:position w:val="-3"/>
                <w:sz w:val="20"/>
              </w:rPr>
            </w:r>
          </w:p>
          <w:p>
            <w:pPr>
              <w:pStyle w:val="TableParagraph"/>
              <w:spacing w:line="249" w:lineRule="auto" w:before="51"/>
              <w:ind w:left="108" w:right="197"/>
              <w:rPr>
                <w:b/>
                <w:sz w:val="20"/>
              </w:rPr>
            </w:pPr>
            <w:r>
              <w:rPr>
                <w:b/>
                <w:color w:val="58595B"/>
                <w:sz w:val="20"/>
              </w:rPr>
              <w:t>Pourcentage des dépenses courantes consacrées à l’EPE affectées à la rémunération des</w:t>
            </w:r>
            <w:r>
              <w:rPr>
                <w:b/>
                <w:color w:val="58595B"/>
                <w:spacing w:val="-6"/>
                <w:sz w:val="20"/>
              </w:rPr>
              <w:t> </w:t>
            </w:r>
            <w:r>
              <w:rPr>
                <w:b/>
                <w:color w:val="58595B"/>
                <w:sz w:val="20"/>
              </w:rPr>
              <w:t>enseignants</w:t>
            </w:r>
          </w:p>
        </w:tc>
        <w:tc>
          <w:tcPr>
            <w:tcW w:w="1744"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rPr>
                <w:rFonts w:ascii="Times New Roman"/>
                <w:sz w:val="16"/>
              </w:rPr>
            </w:pPr>
          </w:p>
        </w:tc>
        <w:tc>
          <w:tcPr>
            <w:tcW w:w="3208"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71" w:lineRule="auto" w:before="124"/>
              <w:ind w:left="370" w:right="353"/>
              <w:jc w:val="center"/>
              <w:rPr>
                <w:sz w:val="17"/>
              </w:rPr>
            </w:pPr>
            <w:r>
              <w:rPr>
                <w:color w:val="58595B"/>
                <w:spacing w:val="-5"/>
                <w:sz w:val="17"/>
              </w:rPr>
              <w:t>Total </w:t>
            </w:r>
            <w:r>
              <w:rPr>
                <w:color w:val="58595B"/>
                <w:sz w:val="17"/>
              </w:rPr>
              <w:t>des dépenses affectées à la rémunération des</w:t>
            </w:r>
            <w:r>
              <w:rPr>
                <w:color w:val="58595B"/>
                <w:spacing w:val="-16"/>
                <w:sz w:val="17"/>
              </w:rPr>
              <w:t> </w:t>
            </w:r>
            <w:r>
              <w:rPr>
                <w:color w:val="58595B"/>
                <w:sz w:val="17"/>
              </w:rPr>
              <w:t>enseignants</w:t>
            </w:r>
          </w:p>
          <w:p>
            <w:pPr>
              <w:pStyle w:val="TableParagraph"/>
              <w:tabs>
                <w:tab w:pos="3051" w:val="left" w:leader="none"/>
              </w:tabs>
              <w:spacing w:line="268" w:lineRule="auto"/>
              <w:ind w:left="152" w:right="134"/>
              <w:jc w:val="center"/>
              <w:rPr>
                <w:sz w:val="17"/>
              </w:rPr>
            </w:pPr>
            <w:r>
              <w:rPr>
                <w:rFonts w:ascii="Times New Roman" w:hAnsi="Times New Roman"/>
                <w:color w:val="58595B"/>
                <w:sz w:val="17"/>
                <w:u w:val="single" w:color="58595B"/>
              </w:rPr>
              <w:t> </w:t>
              <w:tab/>
            </w:r>
            <w:r>
              <w:rPr>
                <w:rFonts w:ascii="Times New Roman" w:hAnsi="Times New Roman"/>
                <w:color w:val="58595B"/>
                <w:sz w:val="17"/>
              </w:rPr>
              <w:t> </w:t>
            </w:r>
            <w:r>
              <w:rPr>
                <w:color w:val="58595B"/>
                <w:spacing w:val="-1"/>
                <w:sz w:val="17"/>
              </w:rPr>
              <w:t>Dépense</w:t>
            </w:r>
            <w:r>
              <w:rPr>
                <w:color w:val="58595B"/>
                <w:sz w:val="17"/>
              </w:rPr>
              <w:t>s</w:t>
            </w:r>
            <w:r>
              <w:rPr>
                <w:color w:val="58595B"/>
                <w:spacing w:val="-1"/>
                <w:sz w:val="17"/>
              </w:rPr>
              <w:t> </w:t>
            </w:r>
            <w:r>
              <w:rPr>
                <w:color w:val="58595B"/>
                <w:sz w:val="17"/>
              </w:rPr>
              <w:t>courantes consacrées à </w:t>
            </w:r>
            <w:r>
              <w:rPr>
                <w:color w:val="58595B"/>
                <w:spacing w:val="-1"/>
                <w:sz w:val="17"/>
              </w:rPr>
              <w:t>l’EPE</w:t>
            </w:r>
          </w:p>
        </w:tc>
        <w:tc>
          <w:tcPr>
            <w:tcW w:w="2172" w:type="dxa"/>
            <w:vMerge w:val="restart"/>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71" w:lineRule="auto" w:before="124"/>
              <w:ind w:left="103" w:right="101"/>
              <w:rPr>
                <w:sz w:val="17"/>
              </w:rPr>
            </w:pPr>
            <w:r>
              <w:rPr>
                <w:color w:val="58595B"/>
                <w:sz w:val="17"/>
              </w:rPr>
              <w:t>Direction/Département des finances du ministère de l’éducation,</w:t>
            </w:r>
          </w:p>
          <w:p>
            <w:pPr>
              <w:pStyle w:val="TableParagraph"/>
              <w:spacing w:line="271" w:lineRule="auto" w:before="111"/>
              <w:ind w:left="103" w:right="176"/>
              <w:rPr>
                <w:sz w:val="17"/>
              </w:rPr>
            </w:pPr>
            <w:r>
              <w:rPr>
                <w:color w:val="58595B"/>
                <w:sz w:val="17"/>
              </w:rPr>
              <w:t>Département des ressources humaines du ministère de l’éducation,</w:t>
            </w:r>
          </w:p>
          <w:p>
            <w:pPr>
              <w:pStyle w:val="TableParagraph"/>
              <w:spacing w:line="271" w:lineRule="auto" w:before="110"/>
              <w:ind w:left="103" w:right="280"/>
              <w:rPr>
                <w:sz w:val="17"/>
              </w:rPr>
            </w:pPr>
            <w:r>
              <w:rPr>
                <w:color w:val="58595B"/>
                <w:sz w:val="17"/>
              </w:rPr>
              <w:t>Ministère de la fonction publique (pour les données relatives à la rémunération),</w:t>
            </w:r>
          </w:p>
          <w:p>
            <w:pPr>
              <w:pStyle w:val="TableParagraph"/>
              <w:spacing w:before="110"/>
              <w:ind w:left="103"/>
              <w:rPr>
                <w:sz w:val="17"/>
              </w:rPr>
            </w:pPr>
            <w:r>
              <w:rPr>
                <w:color w:val="58595B"/>
                <w:sz w:val="17"/>
              </w:rPr>
              <w:t>SIGE</w:t>
            </w:r>
          </w:p>
        </w:tc>
        <w:tc>
          <w:tcPr>
            <w:tcW w:w="5345" w:type="dxa"/>
            <w:vMerge w:val="restart"/>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71" w:lineRule="auto" w:before="124"/>
              <w:ind w:left="108" w:right="240"/>
              <w:rPr>
                <w:sz w:val="17"/>
              </w:rPr>
            </w:pPr>
            <w:r>
              <w:rPr>
                <w:color w:val="58595B"/>
                <w:sz w:val="17"/>
              </w:rPr>
              <w:t>Le pourcentage de dépenses courantes consacrées à l’EPE affecté à la rémunération des enseignants renseigne sur</w:t>
            </w:r>
          </w:p>
          <w:p>
            <w:pPr>
              <w:pStyle w:val="TableParagraph"/>
              <w:spacing w:line="271" w:lineRule="auto"/>
              <w:ind w:left="108" w:right="240"/>
              <w:rPr>
                <w:sz w:val="17"/>
              </w:rPr>
            </w:pPr>
            <w:r>
              <w:rPr>
                <w:color w:val="58595B"/>
                <w:sz w:val="17"/>
              </w:rPr>
              <w:t>la proportion du budget courant de l’EPE pouvant servir à l’amélioration des conditions d’apprentissage, de la gestion, etc.</w:t>
            </w:r>
          </w:p>
          <w:p>
            <w:pPr>
              <w:pStyle w:val="TableParagraph"/>
              <w:spacing w:line="271" w:lineRule="auto" w:before="110"/>
              <w:ind w:left="108" w:right="174"/>
              <w:rPr>
                <w:sz w:val="17"/>
              </w:rPr>
            </w:pPr>
            <w:r>
              <w:rPr>
                <w:color w:val="58595B"/>
                <w:sz w:val="17"/>
              </w:rPr>
              <w:t>Il est utilisé dans les modèles de projection lorsque peu de données sont disponibles sur la ventilation des autres dépenses courantes. La projection d’une hausse du pourcentage de dépenses courantes autres que celles affectées à la </w:t>
            </w:r>
            <w:r>
              <w:rPr>
                <w:color w:val="58595B"/>
                <w:spacing w:val="2"/>
                <w:sz w:val="17"/>
              </w:rPr>
              <w:t>rémunération </w:t>
            </w:r>
            <w:r>
              <w:rPr>
                <w:color w:val="58595B"/>
                <w:sz w:val="17"/>
              </w:rPr>
              <w:t>des enseignants est une méthode simple pour estimer approximativement le total des dépenses courantes tout en conservant une marge permettant d’affecter des ressources à l’amélioration des conditions d’apprentissage (voir le modèle 2 de l’annexe</w:t>
            </w:r>
            <w:r>
              <w:rPr>
                <w:color w:val="58595B"/>
                <w:spacing w:val="4"/>
                <w:sz w:val="17"/>
              </w:rPr>
              <w:t> </w:t>
            </w:r>
            <w:r>
              <w:rPr>
                <w:color w:val="58595B"/>
                <w:sz w:val="17"/>
              </w:rPr>
              <w:t>ci-après).</w:t>
            </w:r>
          </w:p>
        </w:tc>
      </w:tr>
      <w:tr>
        <w:trPr>
          <w:trHeight w:val="1872" w:hRule="atLeast"/>
        </w:trPr>
        <w:tc>
          <w:tcPr>
            <w:tcW w:w="1929"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c>
          <w:tcPr>
            <w:tcW w:w="1744"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line="271" w:lineRule="auto" w:before="124"/>
              <w:ind w:left="113"/>
              <w:rPr>
                <w:sz w:val="17"/>
              </w:rPr>
            </w:pPr>
            <w:r>
              <w:rPr>
                <w:color w:val="58595B"/>
                <w:sz w:val="17"/>
              </w:rPr>
              <w:t>Pourcentage des dépenses courantes consacrées à l’EPE autres que celles affectées à la rémunération des enseignants</w:t>
            </w:r>
          </w:p>
        </w:tc>
        <w:tc>
          <w:tcPr>
            <w:tcW w:w="3208" w:type="dxa"/>
            <w:tcBorders>
              <w:top w:val="single" w:sz="8" w:space="0" w:color="FFFFFF"/>
              <w:left w:val="single" w:sz="8" w:space="0" w:color="FFFFFF"/>
              <w:bottom w:val="single" w:sz="8" w:space="0" w:color="FFFFFF"/>
              <w:right w:val="single" w:sz="8" w:space="0" w:color="FFFFFF"/>
            </w:tcBorders>
            <w:shd w:val="clear" w:color="auto" w:fill="FBE2DF"/>
          </w:tcPr>
          <w:p>
            <w:pPr>
              <w:pStyle w:val="TableParagraph"/>
              <w:spacing w:before="10"/>
              <w:rPr>
                <w:rFonts w:ascii="Times New Roman"/>
                <w:sz w:val="24"/>
              </w:rPr>
            </w:pPr>
          </w:p>
          <w:p>
            <w:pPr>
              <w:pStyle w:val="TableParagraph"/>
              <w:ind w:left="163"/>
              <w:rPr>
                <w:sz w:val="17"/>
              </w:rPr>
            </w:pPr>
            <w:r>
              <w:rPr>
                <w:color w:val="58595B"/>
                <w:sz w:val="17"/>
              </w:rPr>
              <w:t>100 % - Total des dépenses affectées</w:t>
            </w:r>
          </w:p>
          <w:p>
            <w:pPr>
              <w:pStyle w:val="TableParagraph"/>
              <w:spacing w:before="24"/>
              <w:ind w:left="152"/>
              <w:rPr>
                <w:sz w:val="17"/>
              </w:rPr>
            </w:pPr>
            <w:r>
              <w:rPr>
                <w:rFonts w:ascii="Times New Roman" w:hAnsi="Times New Roman"/>
                <w:color w:val="58595B"/>
                <w:position w:val="-5"/>
                <w:sz w:val="17"/>
                <w:u w:val="single" w:color="58595B"/>
              </w:rPr>
              <w:t>   </w:t>
            </w:r>
            <w:r>
              <w:rPr>
                <w:color w:val="58595B"/>
                <w:sz w:val="17"/>
              </w:rPr>
              <w:t>à la rémunération des enseignants</w:t>
            </w:r>
          </w:p>
          <w:p>
            <w:pPr>
              <w:pStyle w:val="TableParagraph"/>
              <w:spacing w:before="3"/>
              <w:rPr>
                <w:rFonts w:ascii="Times New Roman"/>
                <w:sz w:val="21"/>
              </w:rPr>
            </w:pPr>
          </w:p>
          <w:p>
            <w:pPr>
              <w:pStyle w:val="TableParagraph"/>
              <w:spacing w:line="271" w:lineRule="auto"/>
              <w:ind w:left="363" w:right="346"/>
              <w:jc w:val="center"/>
              <w:rPr>
                <w:sz w:val="17"/>
              </w:rPr>
            </w:pPr>
            <w:r>
              <w:rPr>
                <w:color w:val="58595B"/>
                <w:sz w:val="17"/>
              </w:rPr>
              <w:t>Dépenses courantes consacrées à l’EPE</w:t>
            </w:r>
          </w:p>
        </w:tc>
        <w:tc>
          <w:tcPr>
            <w:tcW w:w="2172"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c>
          <w:tcPr>
            <w:tcW w:w="5345" w:type="dxa"/>
            <w:vMerge/>
            <w:tcBorders>
              <w:top w:val="nil"/>
              <w:left w:val="single" w:sz="8" w:space="0" w:color="FFFFFF"/>
              <w:bottom w:val="single" w:sz="8" w:space="0" w:color="FFFFFF"/>
              <w:right w:val="single" w:sz="8" w:space="0" w:color="FFFFFF"/>
            </w:tcBorders>
            <w:shd w:val="clear" w:color="auto" w:fill="FBE2DF"/>
          </w:tcPr>
          <w:p>
            <w:pPr>
              <w:rPr>
                <w:sz w:val="2"/>
                <w:szCs w:val="2"/>
              </w:rPr>
            </w:pPr>
          </w:p>
        </w:tc>
      </w:tr>
    </w:tbl>
    <w:p>
      <w:pPr>
        <w:spacing w:after="0"/>
        <w:rPr>
          <w:sz w:val="2"/>
          <w:szCs w:val="2"/>
        </w:rPr>
        <w:sectPr>
          <w:pgSz w:w="15840" w:h="12240" w:orient="landscape"/>
          <w:pgMar w:header="314" w:footer="0" w:top="660" w:bottom="280" w:left="600" w:right="340"/>
        </w:sectPr>
      </w:pPr>
    </w:p>
    <w:p>
      <w:pPr>
        <w:pStyle w:val="Heading2"/>
      </w:pPr>
      <w:r>
        <w:rPr>
          <w:color w:val="913592"/>
        </w:rPr>
        <w:t>Tableau 2 : Moyens stratégiques</w:t>
      </w:r>
    </w:p>
    <w:p>
      <w:pPr>
        <w:pStyle w:val="BodyText"/>
        <w:spacing w:line="249" w:lineRule="auto" w:before="115"/>
        <w:ind w:left="233" w:right="539"/>
      </w:pPr>
      <w:r>
        <w:rPr>
          <w:color w:val="58595B"/>
        </w:rPr>
        <w:t>Les indicateurs suivants représentent les principaux facteurs de coût du sous-secteur de l’EPE. La définition d’objectifs appropriés est indispensable à la viabili- té financière de l’EPE.</w:t>
      </w:r>
    </w:p>
    <w:p>
      <w:pPr>
        <w:pStyle w:val="BodyText"/>
        <w:spacing w:before="8"/>
        <w:rPr>
          <w:sz w:val="12"/>
        </w:rPr>
      </w:pPr>
    </w:p>
    <w:tbl>
      <w:tblPr>
        <w:tblW w:w="0" w:type="auto"/>
        <w:jc w:val="left"/>
        <w:tblInd w:w="16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839"/>
        <w:gridCol w:w="3402"/>
        <w:gridCol w:w="2003"/>
        <w:gridCol w:w="5188"/>
      </w:tblGrid>
      <w:tr>
        <w:trPr>
          <w:trHeight w:val="491" w:hRule="atLeast"/>
        </w:trPr>
        <w:tc>
          <w:tcPr>
            <w:tcW w:w="1923" w:type="dxa"/>
            <w:tcBorders>
              <w:left w:val="nil"/>
              <w:right w:val="nil"/>
            </w:tcBorders>
          </w:tcPr>
          <w:p>
            <w:pPr>
              <w:pStyle w:val="TableParagraph"/>
              <w:spacing w:before="142"/>
              <w:ind w:left="543"/>
              <w:rPr>
                <w:b/>
                <w:sz w:val="18"/>
              </w:rPr>
            </w:pPr>
            <w:r>
              <w:rPr>
                <w:b/>
                <w:color w:val="58595B"/>
                <w:sz w:val="18"/>
              </w:rPr>
              <w:t>Indicateur</w:t>
            </w:r>
          </w:p>
        </w:tc>
        <w:tc>
          <w:tcPr>
            <w:tcW w:w="1839" w:type="dxa"/>
            <w:tcBorders>
              <w:left w:val="nil"/>
              <w:right w:val="nil"/>
            </w:tcBorders>
          </w:tcPr>
          <w:p>
            <w:pPr>
              <w:pStyle w:val="TableParagraph"/>
              <w:spacing w:before="142"/>
              <w:ind w:left="530"/>
              <w:rPr>
                <w:b/>
                <w:sz w:val="18"/>
              </w:rPr>
            </w:pPr>
            <w:r>
              <w:rPr>
                <w:b/>
                <w:color w:val="58595B"/>
                <w:sz w:val="18"/>
              </w:rPr>
              <w:t>Variantes</w:t>
            </w:r>
          </w:p>
        </w:tc>
        <w:tc>
          <w:tcPr>
            <w:tcW w:w="3402" w:type="dxa"/>
            <w:tcBorders>
              <w:left w:val="nil"/>
              <w:right w:val="nil"/>
            </w:tcBorders>
          </w:tcPr>
          <w:p>
            <w:pPr>
              <w:pStyle w:val="TableParagraph"/>
              <w:spacing w:before="142"/>
              <w:ind w:left="1271" w:right="1249"/>
              <w:jc w:val="center"/>
              <w:rPr>
                <w:b/>
                <w:sz w:val="18"/>
              </w:rPr>
            </w:pPr>
            <w:r>
              <w:rPr>
                <w:b/>
                <w:color w:val="58595B"/>
                <w:sz w:val="18"/>
              </w:rPr>
              <w:t>Définition</w:t>
            </w:r>
          </w:p>
        </w:tc>
        <w:tc>
          <w:tcPr>
            <w:tcW w:w="2003" w:type="dxa"/>
            <w:tcBorders>
              <w:left w:val="nil"/>
              <w:right w:val="nil"/>
            </w:tcBorders>
          </w:tcPr>
          <w:p>
            <w:pPr>
              <w:pStyle w:val="TableParagraph"/>
              <w:spacing w:line="232" w:lineRule="auto" w:before="47"/>
              <w:ind w:left="57" w:right="15" w:firstLine="409"/>
              <w:rPr>
                <w:b/>
                <w:sz w:val="18"/>
              </w:rPr>
            </w:pPr>
            <w:r>
              <w:rPr>
                <w:b/>
                <w:color w:val="58595B"/>
                <w:sz w:val="18"/>
              </w:rPr>
              <w:t>Source(s) de données potentielle(s)</w:t>
            </w:r>
          </w:p>
        </w:tc>
        <w:tc>
          <w:tcPr>
            <w:tcW w:w="5188" w:type="dxa"/>
            <w:tcBorders>
              <w:left w:val="nil"/>
              <w:right w:val="nil"/>
            </w:tcBorders>
          </w:tcPr>
          <w:p>
            <w:pPr>
              <w:pStyle w:val="TableParagraph"/>
              <w:spacing w:before="142"/>
              <w:ind w:left="2008" w:right="1988"/>
              <w:jc w:val="center"/>
              <w:rPr>
                <w:b/>
                <w:sz w:val="18"/>
              </w:rPr>
            </w:pPr>
            <w:r>
              <w:rPr>
                <w:b/>
                <w:color w:val="58595B"/>
                <w:sz w:val="18"/>
              </w:rPr>
              <w:t>Observations</w:t>
            </w:r>
          </w:p>
        </w:tc>
      </w:tr>
      <w:tr>
        <w:trPr>
          <w:trHeight w:val="682" w:hRule="atLeast"/>
        </w:trPr>
        <w:tc>
          <w:tcPr>
            <w:tcW w:w="14355" w:type="dxa"/>
            <w:gridSpan w:val="5"/>
            <w:tcBorders>
              <w:left w:val="single" w:sz="12" w:space="0" w:color="FFFFFF"/>
              <w:bottom w:val="single" w:sz="12" w:space="0" w:color="FFFFFF"/>
              <w:right w:val="single" w:sz="12" w:space="0" w:color="FFFFFF"/>
            </w:tcBorders>
            <w:shd w:val="clear" w:color="auto" w:fill="EFEFF0"/>
          </w:tcPr>
          <w:p>
            <w:pPr>
              <w:pStyle w:val="TableParagraph"/>
              <w:spacing w:line="278" w:lineRule="auto" w:before="118"/>
              <w:ind w:left="167" w:right="180"/>
              <w:rPr>
                <w:sz w:val="18"/>
              </w:rPr>
            </w:pPr>
            <w:r>
              <w:rPr>
                <w:b/>
                <w:color w:val="58595B"/>
                <w:sz w:val="18"/>
              </w:rPr>
              <w:t>Enseignants. </w:t>
            </w:r>
            <w:r>
              <w:rPr>
                <w:color w:val="58595B"/>
                <w:sz w:val="18"/>
              </w:rPr>
              <w:t>En général, la rémunération des enseignants constitue la grande majorité des dépenses du sous-secteur de l’EPE (comme dans les autres sous-secteurs). Il est essentiel d’en comprendre les déterminants pour assurer la viabilité financière des politiques d’EPE.</w:t>
            </w:r>
          </w:p>
        </w:tc>
      </w:tr>
      <w:tr>
        <w:trPr>
          <w:trHeight w:val="1706" w:hRule="atLeast"/>
        </w:trPr>
        <w:tc>
          <w:tcPr>
            <w:tcW w:w="1923" w:type="dxa"/>
            <w:tcBorders>
              <w:top w:val="single" w:sz="12" w:space="0" w:color="FFFFFF"/>
              <w:left w:val="single" w:sz="12" w:space="0" w:color="FFFFFF"/>
              <w:bottom w:val="nil"/>
              <w:right w:val="single" w:sz="12" w:space="0" w:color="FFFFFF"/>
            </w:tcBorders>
            <w:shd w:val="clear" w:color="auto" w:fill="F9D8D4"/>
          </w:tcPr>
          <w:p>
            <w:pPr>
              <w:pStyle w:val="TableParagraph"/>
              <w:spacing w:before="5"/>
              <w:rPr>
                <w:sz w:val="13"/>
              </w:rPr>
            </w:pPr>
          </w:p>
          <w:p>
            <w:pPr>
              <w:pStyle w:val="TableParagraph"/>
              <w:spacing w:line="210" w:lineRule="exact"/>
              <w:ind w:left="167"/>
              <w:rPr>
                <w:sz w:val="20"/>
              </w:rPr>
            </w:pPr>
            <w:r>
              <w:rPr>
                <w:position w:val="-3"/>
                <w:sz w:val="20"/>
              </w:rPr>
              <w:drawing>
                <wp:inline distT="0" distB="0" distL="0" distR="0">
                  <wp:extent cx="933550" cy="133350"/>
                  <wp:effectExtent l="0" t="0" r="0" b="0"/>
                  <wp:docPr id="29" name="image15.png" descr=""/>
                  <wp:cNvGraphicFramePr>
                    <a:graphicFrameLocks noChangeAspect="1"/>
                  </wp:cNvGraphicFramePr>
                  <a:graphic>
                    <a:graphicData uri="http://schemas.openxmlformats.org/drawingml/2006/picture">
                      <pic:pic>
                        <pic:nvPicPr>
                          <pic:cNvPr id="30" name="image15.png"/>
                          <pic:cNvPicPr/>
                        </pic:nvPicPr>
                        <pic:blipFill>
                          <a:blip r:embed="rId25" cstate="print"/>
                          <a:stretch>
                            <a:fillRect/>
                          </a:stretch>
                        </pic:blipFill>
                        <pic:spPr>
                          <a:xfrm>
                            <a:off x="0" y="0"/>
                            <a:ext cx="933550" cy="133350"/>
                          </a:xfrm>
                          <a:prstGeom prst="rect">
                            <a:avLst/>
                          </a:prstGeom>
                        </pic:spPr>
                      </pic:pic>
                    </a:graphicData>
                  </a:graphic>
                </wp:inline>
              </w:drawing>
            </w:r>
            <w:r>
              <w:rPr>
                <w:position w:val="-3"/>
                <w:sz w:val="20"/>
              </w:rPr>
            </w:r>
          </w:p>
          <w:p>
            <w:pPr>
              <w:pStyle w:val="TableParagraph"/>
              <w:spacing w:line="278" w:lineRule="auto" w:before="73"/>
              <w:ind w:left="167" w:right="125"/>
              <w:rPr>
                <w:b/>
                <w:sz w:val="18"/>
              </w:rPr>
            </w:pPr>
            <w:r>
              <w:rPr>
                <w:b/>
                <w:color w:val="58595B"/>
                <w:sz w:val="18"/>
              </w:rPr>
              <w:t>Salaire moyen des enseignants</w:t>
            </w:r>
          </w:p>
        </w:tc>
        <w:tc>
          <w:tcPr>
            <w:tcW w:w="1839"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3402"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003" w:type="dxa"/>
            <w:tcBorders>
              <w:top w:val="single" w:sz="12" w:space="0" w:color="FFFFFF"/>
              <w:left w:val="single" w:sz="12" w:space="0" w:color="FFFFFF"/>
              <w:bottom w:val="nil"/>
              <w:right w:val="single" w:sz="12" w:space="0" w:color="FFFFFF"/>
            </w:tcBorders>
            <w:shd w:val="clear" w:color="auto" w:fill="F9D8D4"/>
          </w:tcPr>
          <w:p>
            <w:pPr>
              <w:pStyle w:val="TableParagraph"/>
              <w:spacing w:line="271" w:lineRule="auto" w:before="119"/>
              <w:ind w:left="166" w:right="3"/>
              <w:rPr>
                <w:sz w:val="17"/>
              </w:rPr>
            </w:pPr>
            <w:r>
              <w:rPr>
                <w:color w:val="58595B"/>
                <w:sz w:val="17"/>
              </w:rPr>
              <w:t>Direction des ressources humaines</w:t>
            </w:r>
          </w:p>
          <w:p>
            <w:pPr>
              <w:pStyle w:val="TableParagraph"/>
              <w:spacing w:line="334" w:lineRule="exact" w:before="4"/>
              <w:ind w:left="166" w:right="730"/>
              <w:rPr>
                <w:sz w:val="17"/>
              </w:rPr>
            </w:pPr>
            <w:r>
              <w:rPr>
                <w:color w:val="58595B"/>
                <w:spacing w:val="-3"/>
                <w:sz w:val="17"/>
              </w:rPr>
              <w:t>et/ou  Ministère </w:t>
            </w:r>
            <w:r>
              <w:rPr>
                <w:color w:val="58595B"/>
                <w:sz w:val="17"/>
              </w:rPr>
              <w:t>de</w:t>
            </w:r>
            <w:r>
              <w:rPr>
                <w:color w:val="58595B"/>
                <w:spacing w:val="-7"/>
                <w:sz w:val="17"/>
              </w:rPr>
              <w:t> </w:t>
            </w:r>
            <w:r>
              <w:rPr>
                <w:color w:val="58595B"/>
                <w:spacing w:val="-3"/>
                <w:sz w:val="17"/>
              </w:rPr>
              <w:t>la</w:t>
            </w:r>
          </w:p>
          <w:p>
            <w:pPr>
              <w:pStyle w:val="TableParagraph"/>
              <w:spacing w:line="189" w:lineRule="exact"/>
              <w:ind w:left="166"/>
              <w:rPr>
                <w:sz w:val="17"/>
              </w:rPr>
            </w:pPr>
            <w:r>
              <w:rPr>
                <w:color w:val="58595B"/>
                <w:sz w:val="17"/>
              </w:rPr>
              <w:t>fonction publique</w:t>
            </w:r>
          </w:p>
        </w:tc>
        <w:tc>
          <w:tcPr>
            <w:tcW w:w="5188" w:type="dxa"/>
            <w:tcBorders>
              <w:top w:val="single" w:sz="12" w:space="0" w:color="FFFFFF"/>
              <w:left w:val="single" w:sz="12" w:space="0" w:color="FFFFFF"/>
              <w:bottom w:val="nil"/>
              <w:right w:val="single" w:sz="12" w:space="0" w:color="FFFFFF"/>
            </w:tcBorders>
            <w:shd w:val="clear" w:color="auto" w:fill="F9D8D4"/>
          </w:tcPr>
          <w:p>
            <w:pPr>
              <w:pStyle w:val="TableParagraph"/>
              <w:spacing w:line="271" w:lineRule="auto" w:before="119"/>
              <w:ind w:left="165" w:right="159"/>
              <w:rPr>
                <w:sz w:val="17"/>
              </w:rPr>
            </w:pPr>
            <w:r>
              <w:rPr>
                <w:color w:val="58595B"/>
                <w:spacing w:val="-4"/>
                <w:sz w:val="17"/>
              </w:rPr>
              <w:t>Cette information </w:t>
            </w:r>
            <w:r>
              <w:rPr>
                <w:color w:val="58595B"/>
                <w:spacing w:val="-3"/>
                <w:sz w:val="17"/>
              </w:rPr>
              <w:t>peut être </w:t>
            </w:r>
            <w:r>
              <w:rPr>
                <w:color w:val="58595B"/>
                <w:spacing w:val="-4"/>
                <w:sz w:val="17"/>
              </w:rPr>
              <w:t>obtenue auprès </w:t>
            </w:r>
            <w:r>
              <w:rPr>
                <w:color w:val="58595B"/>
                <w:sz w:val="17"/>
              </w:rPr>
              <w:t>du </w:t>
            </w:r>
            <w:r>
              <w:rPr>
                <w:color w:val="58595B"/>
                <w:spacing w:val="-4"/>
                <w:sz w:val="17"/>
              </w:rPr>
              <w:t>département des ressources humaines </w:t>
            </w:r>
            <w:r>
              <w:rPr>
                <w:color w:val="58595B"/>
                <w:sz w:val="17"/>
              </w:rPr>
              <w:t>ou du </w:t>
            </w:r>
            <w:r>
              <w:rPr>
                <w:color w:val="58595B"/>
                <w:spacing w:val="-4"/>
                <w:sz w:val="17"/>
              </w:rPr>
              <w:t>service administratif </w:t>
            </w:r>
            <w:r>
              <w:rPr>
                <w:color w:val="58595B"/>
                <w:sz w:val="17"/>
              </w:rPr>
              <w:t>de la </w:t>
            </w:r>
            <w:r>
              <w:rPr>
                <w:color w:val="58595B"/>
                <w:spacing w:val="-4"/>
                <w:sz w:val="17"/>
              </w:rPr>
              <w:t>fonction publique. </w:t>
            </w:r>
            <w:r>
              <w:rPr>
                <w:color w:val="58595B"/>
                <w:sz w:val="17"/>
              </w:rPr>
              <w:t>Le </w:t>
            </w:r>
            <w:r>
              <w:rPr>
                <w:color w:val="58595B"/>
                <w:spacing w:val="-4"/>
                <w:sz w:val="17"/>
              </w:rPr>
              <w:t>salaire moyen correspond généralement </w:t>
            </w:r>
            <w:r>
              <w:rPr>
                <w:color w:val="58595B"/>
                <w:sz w:val="17"/>
              </w:rPr>
              <w:t>au </w:t>
            </w:r>
            <w:r>
              <w:rPr>
                <w:color w:val="58595B"/>
                <w:spacing w:val="-4"/>
                <w:sz w:val="17"/>
              </w:rPr>
              <w:t>traitement perçu </w:t>
            </w:r>
            <w:r>
              <w:rPr>
                <w:color w:val="58595B"/>
                <w:sz w:val="17"/>
              </w:rPr>
              <w:t>en </w:t>
            </w:r>
            <w:r>
              <w:rPr>
                <w:color w:val="58595B"/>
                <w:spacing w:val="-4"/>
                <w:sz w:val="17"/>
              </w:rPr>
              <w:t>milieu </w:t>
            </w:r>
            <w:r>
              <w:rPr>
                <w:color w:val="58595B"/>
                <w:sz w:val="17"/>
              </w:rPr>
              <w:t>de </w:t>
            </w:r>
            <w:r>
              <w:rPr>
                <w:color w:val="58595B"/>
                <w:spacing w:val="-4"/>
                <w:sz w:val="17"/>
              </w:rPr>
              <w:t>carrière </w:t>
            </w:r>
            <w:r>
              <w:rPr>
                <w:color w:val="58595B"/>
                <w:spacing w:val="-3"/>
                <w:sz w:val="17"/>
              </w:rPr>
              <w:t>(il peut être </w:t>
            </w:r>
            <w:r>
              <w:rPr>
                <w:color w:val="58595B"/>
                <w:spacing w:val="-4"/>
                <w:sz w:val="17"/>
              </w:rPr>
              <w:t>exprimé </w:t>
            </w:r>
            <w:r>
              <w:rPr>
                <w:color w:val="58595B"/>
                <w:sz w:val="17"/>
              </w:rPr>
              <w:t>en </w:t>
            </w:r>
            <w:r>
              <w:rPr>
                <w:color w:val="58595B"/>
                <w:spacing w:val="-4"/>
                <w:sz w:val="17"/>
              </w:rPr>
              <w:t>salaire mensuel </w:t>
            </w:r>
            <w:r>
              <w:rPr>
                <w:color w:val="58595B"/>
                <w:sz w:val="17"/>
              </w:rPr>
              <w:t>ou </w:t>
            </w:r>
            <w:r>
              <w:rPr>
                <w:color w:val="58595B"/>
                <w:spacing w:val="-4"/>
                <w:sz w:val="17"/>
              </w:rPr>
              <w:t>annuel, cette dernière valeur étant souvent </w:t>
            </w:r>
            <w:r>
              <w:rPr>
                <w:color w:val="58595B"/>
                <w:spacing w:val="-3"/>
                <w:sz w:val="17"/>
              </w:rPr>
              <w:t>plus </w:t>
            </w:r>
            <w:r>
              <w:rPr>
                <w:color w:val="58595B"/>
                <w:spacing w:val="-4"/>
                <w:sz w:val="17"/>
              </w:rPr>
              <w:t>pertinente), </w:t>
            </w:r>
            <w:r>
              <w:rPr>
                <w:color w:val="58595B"/>
                <w:spacing w:val="-3"/>
                <w:sz w:val="17"/>
              </w:rPr>
              <w:t>mais </w:t>
            </w:r>
            <w:r>
              <w:rPr>
                <w:color w:val="58595B"/>
                <w:sz w:val="17"/>
              </w:rPr>
              <w:t>il </w:t>
            </w:r>
            <w:r>
              <w:rPr>
                <w:color w:val="58595B"/>
                <w:spacing w:val="-3"/>
                <w:sz w:val="17"/>
              </w:rPr>
              <w:t>doit </w:t>
            </w:r>
            <w:r>
              <w:rPr>
                <w:color w:val="58595B"/>
                <w:sz w:val="17"/>
              </w:rPr>
              <w:t>en </w:t>
            </w:r>
            <w:r>
              <w:rPr>
                <w:color w:val="58595B"/>
                <w:spacing w:val="-4"/>
                <w:sz w:val="17"/>
              </w:rPr>
              <w:t>principe inclure </w:t>
            </w:r>
            <w:r>
              <w:rPr>
                <w:color w:val="58595B"/>
                <w:spacing w:val="-3"/>
                <w:sz w:val="17"/>
              </w:rPr>
              <w:t>les </w:t>
            </w:r>
            <w:r>
              <w:rPr>
                <w:color w:val="58595B"/>
                <w:spacing w:val="-4"/>
                <w:sz w:val="17"/>
              </w:rPr>
              <w:t>autres formes </w:t>
            </w:r>
            <w:r>
              <w:rPr>
                <w:color w:val="58595B"/>
                <w:sz w:val="17"/>
              </w:rPr>
              <w:t>de </w:t>
            </w:r>
            <w:r>
              <w:rPr>
                <w:color w:val="58595B"/>
                <w:spacing w:val="-4"/>
                <w:sz w:val="17"/>
              </w:rPr>
              <w:t>rémunération (sécurité sociale, indemnités </w:t>
            </w:r>
            <w:r>
              <w:rPr>
                <w:color w:val="58595B"/>
                <w:sz w:val="17"/>
              </w:rPr>
              <w:t>et </w:t>
            </w:r>
            <w:r>
              <w:rPr>
                <w:color w:val="58595B"/>
                <w:spacing w:val="-4"/>
                <w:sz w:val="17"/>
              </w:rPr>
              <w:t>cotisations </w:t>
            </w:r>
            <w:r>
              <w:rPr>
                <w:color w:val="58595B"/>
                <w:sz w:val="17"/>
              </w:rPr>
              <w:t>de </w:t>
            </w:r>
            <w:r>
              <w:rPr>
                <w:color w:val="58595B"/>
                <w:spacing w:val="-4"/>
                <w:sz w:val="17"/>
              </w:rPr>
              <w:t>retraite).</w:t>
            </w:r>
          </w:p>
        </w:tc>
      </w:tr>
      <w:tr>
        <w:trPr>
          <w:trHeight w:val="1433" w:hRule="atLeast"/>
        </w:trPr>
        <w:tc>
          <w:tcPr>
            <w:tcW w:w="1923"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1839" w:type="dxa"/>
            <w:tcBorders>
              <w:top w:val="nil"/>
              <w:left w:val="single" w:sz="12" w:space="0" w:color="FFFFFF"/>
              <w:bottom w:val="nil"/>
              <w:right w:val="single" w:sz="12" w:space="0" w:color="FFFFFF"/>
            </w:tcBorders>
            <w:shd w:val="clear" w:color="auto" w:fill="F9D8D4"/>
          </w:tcPr>
          <w:p>
            <w:pPr>
              <w:pStyle w:val="TableParagraph"/>
              <w:spacing w:before="3"/>
              <w:rPr>
                <w:sz w:val="15"/>
              </w:rPr>
            </w:pPr>
          </w:p>
          <w:p>
            <w:pPr>
              <w:pStyle w:val="TableParagraph"/>
              <w:spacing w:line="271" w:lineRule="auto"/>
              <w:ind w:left="166" w:right="28"/>
              <w:rPr>
                <w:sz w:val="17"/>
              </w:rPr>
            </w:pPr>
            <w:r>
              <w:rPr>
                <w:color w:val="58595B"/>
                <w:sz w:val="17"/>
              </w:rPr>
              <w:t>(à partir du barème de salaire)</w:t>
            </w:r>
          </w:p>
        </w:tc>
        <w:tc>
          <w:tcPr>
            <w:tcW w:w="3402" w:type="dxa"/>
            <w:tcBorders>
              <w:top w:val="nil"/>
              <w:left w:val="single" w:sz="12" w:space="0" w:color="FFFFFF"/>
              <w:bottom w:val="nil"/>
              <w:right w:val="single" w:sz="12" w:space="0" w:color="FFFFFF"/>
            </w:tcBorders>
            <w:shd w:val="clear" w:color="auto" w:fill="F9D8D4"/>
          </w:tcPr>
          <w:p>
            <w:pPr>
              <w:pStyle w:val="TableParagraph"/>
              <w:spacing w:before="10"/>
              <w:rPr>
                <w:sz w:val="24"/>
              </w:rPr>
            </w:pPr>
          </w:p>
          <w:p>
            <w:pPr>
              <w:pStyle w:val="TableParagraph"/>
              <w:ind w:left="539"/>
              <w:rPr>
                <w:sz w:val="17"/>
              </w:rPr>
            </w:pPr>
            <w:r>
              <w:rPr>
                <w:color w:val="58595B"/>
                <w:sz w:val="17"/>
              </w:rPr>
              <w:t>Salaire moyen des enseignants</w:t>
            </w:r>
          </w:p>
        </w:tc>
        <w:tc>
          <w:tcPr>
            <w:tcW w:w="2003"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5188" w:type="dxa"/>
            <w:tcBorders>
              <w:top w:val="nil"/>
              <w:left w:val="single" w:sz="12" w:space="0" w:color="FFFFFF"/>
              <w:bottom w:val="nil"/>
              <w:right w:val="single" w:sz="12" w:space="0" w:color="FFFFFF"/>
            </w:tcBorders>
            <w:shd w:val="clear" w:color="auto" w:fill="F9D8D4"/>
          </w:tcPr>
          <w:p>
            <w:pPr>
              <w:pStyle w:val="TableParagraph"/>
              <w:spacing w:line="271" w:lineRule="auto" w:before="66"/>
              <w:ind w:left="165" w:right="157"/>
              <w:rPr>
                <w:sz w:val="17"/>
              </w:rPr>
            </w:pPr>
            <w:r>
              <w:rPr>
                <w:color w:val="58595B"/>
                <w:spacing w:val="-3"/>
                <w:sz w:val="17"/>
              </w:rPr>
              <w:t>Cet </w:t>
            </w:r>
            <w:r>
              <w:rPr>
                <w:color w:val="58595B"/>
                <w:spacing w:val="-4"/>
                <w:sz w:val="17"/>
              </w:rPr>
              <w:t>indicateur </w:t>
            </w:r>
            <w:r>
              <w:rPr>
                <w:color w:val="58595B"/>
                <w:spacing w:val="-3"/>
                <w:sz w:val="17"/>
              </w:rPr>
              <w:t>est </w:t>
            </w:r>
            <w:r>
              <w:rPr>
                <w:color w:val="58595B"/>
                <w:spacing w:val="-4"/>
                <w:sz w:val="17"/>
              </w:rPr>
              <w:t>utile uniquement lorsque </w:t>
            </w:r>
            <w:r>
              <w:rPr>
                <w:color w:val="58595B"/>
                <w:spacing w:val="-3"/>
                <w:sz w:val="17"/>
              </w:rPr>
              <w:t>tous les </w:t>
            </w:r>
            <w:r>
              <w:rPr>
                <w:color w:val="58595B"/>
                <w:spacing w:val="-4"/>
                <w:sz w:val="17"/>
              </w:rPr>
              <w:t>enseignants </w:t>
            </w:r>
            <w:r>
              <w:rPr>
                <w:color w:val="58595B"/>
                <w:spacing w:val="-3"/>
                <w:sz w:val="17"/>
              </w:rPr>
              <w:t>(ou </w:t>
            </w:r>
            <w:r>
              <w:rPr>
                <w:color w:val="58595B"/>
                <w:sz w:val="17"/>
              </w:rPr>
              <w:t>au </w:t>
            </w:r>
            <w:r>
              <w:rPr>
                <w:color w:val="58595B"/>
                <w:spacing w:val="-4"/>
                <w:sz w:val="17"/>
              </w:rPr>
              <w:t>moins </w:t>
            </w:r>
            <w:r>
              <w:rPr>
                <w:color w:val="58595B"/>
                <w:sz w:val="17"/>
              </w:rPr>
              <w:t>la </w:t>
            </w:r>
            <w:r>
              <w:rPr>
                <w:color w:val="58595B"/>
                <w:spacing w:val="-4"/>
                <w:sz w:val="17"/>
              </w:rPr>
              <w:t>plupart d’entre </w:t>
            </w:r>
            <w:r>
              <w:rPr>
                <w:color w:val="58595B"/>
                <w:spacing w:val="-3"/>
                <w:sz w:val="17"/>
              </w:rPr>
              <w:t>eux) sont des </w:t>
            </w:r>
            <w:r>
              <w:rPr>
                <w:color w:val="58595B"/>
                <w:spacing w:val="-4"/>
                <w:sz w:val="17"/>
              </w:rPr>
              <w:t>fonctionnaires, </w:t>
            </w:r>
            <w:r>
              <w:rPr>
                <w:color w:val="58595B"/>
                <w:sz w:val="17"/>
              </w:rPr>
              <w:t>et </w:t>
            </w:r>
            <w:r>
              <w:rPr>
                <w:color w:val="58595B"/>
                <w:spacing w:val="-4"/>
                <w:sz w:val="17"/>
              </w:rPr>
              <w:t>seulement</w:t>
            </w:r>
            <w:r>
              <w:rPr>
                <w:color w:val="58595B"/>
                <w:spacing w:val="-8"/>
                <w:sz w:val="17"/>
              </w:rPr>
              <w:t> </w:t>
            </w:r>
            <w:r>
              <w:rPr>
                <w:color w:val="58595B"/>
                <w:sz w:val="17"/>
              </w:rPr>
              <w:t>si</w:t>
            </w:r>
            <w:r>
              <w:rPr>
                <w:color w:val="58595B"/>
                <w:spacing w:val="-7"/>
                <w:sz w:val="17"/>
              </w:rPr>
              <w:t> </w:t>
            </w:r>
            <w:r>
              <w:rPr>
                <w:color w:val="58595B"/>
                <w:sz w:val="17"/>
              </w:rPr>
              <w:t>un</w:t>
            </w:r>
            <w:r>
              <w:rPr>
                <w:color w:val="58595B"/>
                <w:spacing w:val="-7"/>
                <w:sz w:val="17"/>
              </w:rPr>
              <w:t> </w:t>
            </w:r>
            <w:r>
              <w:rPr>
                <w:color w:val="58595B"/>
                <w:spacing w:val="-3"/>
                <w:sz w:val="17"/>
              </w:rPr>
              <w:t>type</w:t>
            </w:r>
            <w:r>
              <w:rPr>
                <w:color w:val="58595B"/>
                <w:spacing w:val="-7"/>
                <w:sz w:val="17"/>
              </w:rPr>
              <w:t> </w:t>
            </w:r>
            <w:r>
              <w:rPr>
                <w:color w:val="58595B"/>
                <w:spacing w:val="-3"/>
                <w:sz w:val="17"/>
              </w:rPr>
              <w:t>d’«</w:t>
            </w:r>
            <w:r>
              <w:rPr>
                <w:color w:val="58595B"/>
                <w:spacing w:val="-7"/>
                <w:sz w:val="17"/>
              </w:rPr>
              <w:t> </w:t>
            </w:r>
            <w:r>
              <w:rPr>
                <w:color w:val="58595B"/>
                <w:spacing w:val="-4"/>
                <w:sz w:val="17"/>
              </w:rPr>
              <w:t>éducateur</w:t>
            </w:r>
            <w:r>
              <w:rPr>
                <w:color w:val="58595B"/>
                <w:spacing w:val="-8"/>
                <w:sz w:val="17"/>
              </w:rPr>
              <w:t> </w:t>
            </w:r>
            <w:r>
              <w:rPr>
                <w:color w:val="58595B"/>
                <w:sz w:val="17"/>
              </w:rPr>
              <w:t>»</w:t>
            </w:r>
            <w:r>
              <w:rPr>
                <w:color w:val="58595B"/>
                <w:spacing w:val="-7"/>
                <w:sz w:val="17"/>
              </w:rPr>
              <w:t> </w:t>
            </w:r>
            <w:r>
              <w:rPr>
                <w:color w:val="58595B"/>
                <w:spacing w:val="-3"/>
                <w:sz w:val="17"/>
              </w:rPr>
              <w:t>est</w:t>
            </w:r>
            <w:r>
              <w:rPr>
                <w:color w:val="58595B"/>
                <w:spacing w:val="-7"/>
                <w:sz w:val="17"/>
              </w:rPr>
              <w:t> </w:t>
            </w:r>
            <w:r>
              <w:rPr>
                <w:color w:val="58595B"/>
                <w:spacing w:val="-4"/>
                <w:sz w:val="17"/>
              </w:rPr>
              <w:t>présent</w:t>
            </w:r>
            <w:r>
              <w:rPr>
                <w:color w:val="58595B"/>
                <w:spacing w:val="-7"/>
                <w:sz w:val="17"/>
              </w:rPr>
              <w:t> </w:t>
            </w:r>
            <w:r>
              <w:rPr>
                <w:color w:val="58595B"/>
                <w:sz w:val="17"/>
              </w:rPr>
              <w:t>en</w:t>
            </w:r>
            <w:r>
              <w:rPr>
                <w:color w:val="58595B"/>
                <w:spacing w:val="-7"/>
                <w:sz w:val="17"/>
              </w:rPr>
              <w:t> </w:t>
            </w:r>
            <w:r>
              <w:rPr>
                <w:color w:val="58595B"/>
                <w:spacing w:val="-4"/>
                <w:sz w:val="17"/>
              </w:rPr>
              <w:t>classe</w:t>
            </w:r>
            <w:r>
              <w:rPr>
                <w:color w:val="58595B"/>
                <w:spacing w:val="-8"/>
                <w:sz w:val="17"/>
              </w:rPr>
              <w:t> </w:t>
            </w:r>
            <w:r>
              <w:rPr>
                <w:color w:val="58595B"/>
                <w:spacing w:val="-4"/>
                <w:sz w:val="17"/>
              </w:rPr>
              <w:t>(dans</w:t>
            </w:r>
            <w:r>
              <w:rPr>
                <w:color w:val="58595B"/>
                <w:spacing w:val="-7"/>
                <w:sz w:val="17"/>
              </w:rPr>
              <w:t> </w:t>
            </w:r>
            <w:r>
              <w:rPr>
                <w:color w:val="58595B"/>
                <w:spacing w:val="-4"/>
                <w:sz w:val="17"/>
              </w:rPr>
              <w:t>le cadre </w:t>
            </w:r>
            <w:r>
              <w:rPr>
                <w:color w:val="58595B"/>
                <w:sz w:val="17"/>
              </w:rPr>
              <w:t>de </w:t>
            </w:r>
            <w:r>
              <w:rPr>
                <w:color w:val="58595B"/>
                <w:spacing w:val="-4"/>
                <w:sz w:val="17"/>
              </w:rPr>
              <w:t>l’EPE, l’enseignant </w:t>
            </w:r>
            <w:r>
              <w:rPr>
                <w:color w:val="58595B"/>
                <w:spacing w:val="-3"/>
                <w:sz w:val="17"/>
              </w:rPr>
              <w:t>peut être </w:t>
            </w:r>
            <w:r>
              <w:rPr>
                <w:color w:val="58595B"/>
                <w:spacing w:val="-4"/>
                <w:sz w:val="17"/>
              </w:rPr>
              <w:t>assisté </w:t>
            </w:r>
            <w:r>
              <w:rPr>
                <w:color w:val="58595B"/>
                <w:spacing w:val="-3"/>
                <w:sz w:val="17"/>
              </w:rPr>
              <w:t>d’un </w:t>
            </w:r>
            <w:r>
              <w:rPr>
                <w:color w:val="58595B"/>
                <w:spacing w:val="-4"/>
                <w:sz w:val="17"/>
              </w:rPr>
              <w:t>auxiliaire </w:t>
            </w:r>
            <w:r>
              <w:rPr>
                <w:color w:val="58595B"/>
                <w:sz w:val="17"/>
              </w:rPr>
              <w:t>; </w:t>
            </w:r>
            <w:r>
              <w:rPr>
                <w:color w:val="58595B"/>
                <w:spacing w:val="-4"/>
                <w:sz w:val="17"/>
              </w:rPr>
              <w:t>dans </w:t>
            </w:r>
            <w:r>
              <w:rPr>
                <w:color w:val="58595B"/>
                <w:sz w:val="17"/>
              </w:rPr>
              <w:t>ce </w:t>
            </w:r>
            <w:r>
              <w:rPr>
                <w:color w:val="58595B"/>
                <w:spacing w:val="-3"/>
                <w:sz w:val="17"/>
              </w:rPr>
              <w:t>cas, une </w:t>
            </w:r>
            <w:r>
              <w:rPr>
                <w:color w:val="58595B"/>
                <w:spacing w:val="-4"/>
                <w:sz w:val="17"/>
              </w:rPr>
              <w:t>ventilation </w:t>
            </w:r>
            <w:r>
              <w:rPr>
                <w:color w:val="58595B"/>
                <w:spacing w:val="-3"/>
                <w:sz w:val="17"/>
              </w:rPr>
              <w:t>par type </w:t>
            </w:r>
            <w:r>
              <w:rPr>
                <w:color w:val="58595B"/>
                <w:spacing w:val="-4"/>
                <w:sz w:val="17"/>
              </w:rPr>
              <w:t>d’éducateur </w:t>
            </w:r>
            <w:r>
              <w:rPr>
                <w:color w:val="58595B"/>
                <w:spacing w:val="-3"/>
                <w:sz w:val="17"/>
              </w:rPr>
              <w:t>sera plus </w:t>
            </w:r>
            <w:r>
              <w:rPr>
                <w:color w:val="58595B"/>
                <w:spacing w:val="-4"/>
                <w:sz w:val="17"/>
              </w:rPr>
              <w:t>pertinente </w:t>
            </w:r>
            <w:r>
              <w:rPr>
                <w:color w:val="58595B"/>
                <w:sz w:val="17"/>
              </w:rPr>
              <w:t>– </w:t>
            </w:r>
            <w:r>
              <w:rPr>
                <w:color w:val="58595B"/>
                <w:spacing w:val="-4"/>
                <w:sz w:val="17"/>
              </w:rPr>
              <w:t>veuillez </w:t>
            </w:r>
            <w:r>
              <w:rPr>
                <w:color w:val="58595B"/>
                <w:spacing w:val="-3"/>
                <w:sz w:val="17"/>
              </w:rPr>
              <w:t>vous </w:t>
            </w:r>
            <w:r>
              <w:rPr>
                <w:color w:val="58595B"/>
                <w:spacing w:val="-4"/>
                <w:sz w:val="17"/>
              </w:rPr>
              <w:t>reporter </w:t>
            </w:r>
            <w:r>
              <w:rPr>
                <w:color w:val="58595B"/>
                <w:spacing w:val="-3"/>
                <w:sz w:val="17"/>
              </w:rPr>
              <w:t>aux </w:t>
            </w:r>
            <w:r>
              <w:rPr>
                <w:color w:val="58595B"/>
                <w:spacing w:val="-4"/>
                <w:sz w:val="17"/>
              </w:rPr>
              <w:t>indicateurs</w:t>
            </w:r>
            <w:r>
              <w:rPr>
                <w:color w:val="58595B"/>
                <w:spacing w:val="-25"/>
                <w:sz w:val="17"/>
              </w:rPr>
              <w:t> </w:t>
            </w:r>
            <w:r>
              <w:rPr>
                <w:color w:val="58595B"/>
                <w:spacing w:val="-4"/>
                <w:sz w:val="17"/>
              </w:rPr>
              <w:t>ci-dessous).</w:t>
            </w:r>
          </w:p>
        </w:tc>
      </w:tr>
      <w:tr>
        <w:trPr>
          <w:trHeight w:val="1040" w:hRule="atLeast"/>
        </w:trPr>
        <w:tc>
          <w:tcPr>
            <w:tcW w:w="1923"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839"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3402"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2003"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88" w:type="dxa"/>
            <w:tcBorders>
              <w:top w:val="nil"/>
              <w:left w:val="single" w:sz="12" w:space="0" w:color="FFFFFF"/>
              <w:bottom w:val="single" w:sz="12" w:space="0" w:color="FFFFFF"/>
              <w:right w:val="single" w:sz="12" w:space="0" w:color="FFFFFF"/>
            </w:tcBorders>
            <w:shd w:val="clear" w:color="auto" w:fill="F9D8D4"/>
          </w:tcPr>
          <w:p>
            <w:pPr>
              <w:pStyle w:val="TableParagraph"/>
              <w:spacing w:line="271" w:lineRule="auto" w:before="66"/>
              <w:ind w:left="165" w:right="310"/>
              <w:rPr>
                <w:sz w:val="17"/>
              </w:rPr>
            </w:pPr>
            <w:r>
              <w:rPr>
                <w:color w:val="58595B"/>
                <w:sz w:val="17"/>
              </w:rPr>
              <w:t>Il </w:t>
            </w:r>
            <w:r>
              <w:rPr>
                <w:color w:val="58595B"/>
                <w:spacing w:val="-4"/>
                <w:sz w:val="17"/>
              </w:rPr>
              <w:t>convient </w:t>
            </w:r>
            <w:r>
              <w:rPr>
                <w:color w:val="58595B"/>
                <w:sz w:val="17"/>
              </w:rPr>
              <w:t>de </w:t>
            </w:r>
            <w:r>
              <w:rPr>
                <w:color w:val="58595B"/>
                <w:spacing w:val="-4"/>
                <w:sz w:val="17"/>
              </w:rPr>
              <w:t>noter </w:t>
            </w:r>
            <w:r>
              <w:rPr>
                <w:color w:val="58595B"/>
                <w:spacing w:val="-3"/>
                <w:sz w:val="17"/>
              </w:rPr>
              <w:t>que, </w:t>
            </w:r>
            <w:r>
              <w:rPr>
                <w:color w:val="58595B"/>
                <w:spacing w:val="-4"/>
                <w:sz w:val="17"/>
              </w:rPr>
              <w:t>généralement, </w:t>
            </w:r>
            <w:r>
              <w:rPr>
                <w:color w:val="58595B"/>
                <w:spacing w:val="-3"/>
                <w:sz w:val="17"/>
              </w:rPr>
              <w:t>les </w:t>
            </w:r>
            <w:r>
              <w:rPr>
                <w:color w:val="58595B"/>
                <w:spacing w:val="-4"/>
                <w:sz w:val="17"/>
              </w:rPr>
              <w:t>barèmes </w:t>
            </w:r>
            <w:r>
              <w:rPr>
                <w:color w:val="58595B"/>
                <w:sz w:val="17"/>
              </w:rPr>
              <w:t>de </w:t>
            </w:r>
            <w:r>
              <w:rPr>
                <w:color w:val="58595B"/>
                <w:spacing w:val="-4"/>
                <w:sz w:val="17"/>
              </w:rPr>
              <w:t>salaire </w:t>
            </w:r>
            <w:r>
              <w:rPr>
                <w:color w:val="58595B"/>
                <w:sz w:val="17"/>
              </w:rPr>
              <w:t>ne</w:t>
            </w:r>
            <w:r>
              <w:rPr>
                <w:color w:val="58595B"/>
                <w:spacing w:val="-8"/>
                <w:sz w:val="17"/>
              </w:rPr>
              <w:t> </w:t>
            </w:r>
            <w:r>
              <w:rPr>
                <w:color w:val="58595B"/>
                <w:sz w:val="17"/>
              </w:rPr>
              <w:t>se</w:t>
            </w:r>
            <w:r>
              <w:rPr>
                <w:color w:val="58595B"/>
                <w:spacing w:val="-8"/>
                <w:sz w:val="17"/>
              </w:rPr>
              <w:t> </w:t>
            </w:r>
            <w:r>
              <w:rPr>
                <w:color w:val="58595B"/>
                <w:spacing w:val="-4"/>
                <w:sz w:val="17"/>
              </w:rPr>
              <w:t>rapportent</w:t>
            </w:r>
            <w:r>
              <w:rPr>
                <w:color w:val="58595B"/>
                <w:spacing w:val="-8"/>
                <w:sz w:val="17"/>
              </w:rPr>
              <w:t> </w:t>
            </w:r>
            <w:r>
              <w:rPr>
                <w:color w:val="58595B"/>
                <w:spacing w:val="-4"/>
                <w:sz w:val="17"/>
              </w:rPr>
              <w:t>qu’au</w:t>
            </w:r>
            <w:r>
              <w:rPr>
                <w:color w:val="58595B"/>
                <w:spacing w:val="-8"/>
                <w:sz w:val="17"/>
              </w:rPr>
              <w:t> </w:t>
            </w:r>
            <w:r>
              <w:rPr>
                <w:color w:val="58595B"/>
                <w:spacing w:val="-4"/>
                <w:sz w:val="17"/>
              </w:rPr>
              <w:t>salaire</w:t>
            </w:r>
            <w:r>
              <w:rPr>
                <w:color w:val="58595B"/>
                <w:spacing w:val="-8"/>
                <w:sz w:val="17"/>
              </w:rPr>
              <w:t> </w:t>
            </w:r>
            <w:r>
              <w:rPr>
                <w:color w:val="58595B"/>
                <w:sz w:val="17"/>
              </w:rPr>
              <w:t>de</w:t>
            </w:r>
            <w:r>
              <w:rPr>
                <w:color w:val="58595B"/>
                <w:spacing w:val="-8"/>
                <w:sz w:val="17"/>
              </w:rPr>
              <w:t> </w:t>
            </w:r>
            <w:r>
              <w:rPr>
                <w:color w:val="58595B"/>
                <w:spacing w:val="-3"/>
                <w:sz w:val="17"/>
              </w:rPr>
              <w:t>base</w:t>
            </w:r>
            <w:r>
              <w:rPr>
                <w:color w:val="58595B"/>
                <w:spacing w:val="-8"/>
                <w:sz w:val="17"/>
              </w:rPr>
              <w:t> </w:t>
            </w:r>
            <w:r>
              <w:rPr>
                <w:color w:val="58595B"/>
                <w:sz w:val="17"/>
              </w:rPr>
              <w:t>et</w:t>
            </w:r>
            <w:r>
              <w:rPr>
                <w:color w:val="58595B"/>
                <w:spacing w:val="-8"/>
                <w:sz w:val="17"/>
              </w:rPr>
              <w:t> </w:t>
            </w:r>
            <w:r>
              <w:rPr>
                <w:color w:val="58595B"/>
                <w:sz w:val="17"/>
              </w:rPr>
              <w:t>ne</w:t>
            </w:r>
            <w:r>
              <w:rPr>
                <w:color w:val="58595B"/>
                <w:spacing w:val="-8"/>
                <w:sz w:val="17"/>
              </w:rPr>
              <w:t> </w:t>
            </w:r>
            <w:r>
              <w:rPr>
                <w:color w:val="58595B"/>
                <w:spacing w:val="-4"/>
                <w:sz w:val="17"/>
              </w:rPr>
              <w:t>tiennent</w:t>
            </w:r>
            <w:r>
              <w:rPr>
                <w:color w:val="58595B"/>
                <w:spacing w:val="-8"/>
                <w:sz w:val="17"/>
              </w:rPr>
              <w:t> </w:t>
            </w:r>
            <w:r>
              <w:rPr>
                <w:color w:val="58595B"/>
                <w:spacing w:val="-3"/>
                <w:sz w:val="17"/>
              </w:rPr>
              <w:t>pas</w:t>
            </w:r>
            <w:r>
              <w:rPr>
                <w:color w:val="58595B"/>
                <w:spacing w:val="-8"/>
                <w:sz w:val="17"/>
              </w:rPr>
              <w:t> </w:t>
            </w:r>
            <w:r>
              <w:rPr>
                <w:color w:val="58595B"/>
                <w:spacing w:val="-4"/>
                <w:sz w:val="17"/>
              </w:rPr>
              <w:t>compte </w:t>
            </w:r>
            <w:r>
              <w:rPr>
                <w:color w:val="58595B"/>
                <w:spacing w:val="-3"/>
                <w:sz w:val="17"/>
              </w:rPr>
              <w:t>des </w:t>
            </w:r>
            <w:r>
              <w:rPr>
                <w:color w:val="58595B"/>
                <w:spacing w:val="-4"/>
                <w:sz w:val="17"/>
              </w:rPr>
              <w:t>indemnités </w:t>
            </w:r>
            <w:r>
              <w:rPr>
                <w:color w:val="58595B"/>
                <w:spacing w:val="-3"/>
                <w:sz w:val="17"/>
              </w:rPr>
              <w:t>qui </w:t>
            </w:r>
            <w:r>
              <w:rPr>
                <w:color w:val="58595B"/>
                <w:spacing w:val="-4"/>
                <w:sz w:val="17"/>
              </w:rPr>
              <w:t>peuvent constituer </w:t>
            </w:r>
            <w:r>
              <w:rPr>
                <w:color w:val="58595B"/>
                <w:spacing w:val="-3"/>
                <w:sz w:val="17"/>
              </w:rPr>
              <w:t>une </w:t>
            </w:r>
            <w:r>
              <w:rPr>
                <w:color w:val="58595B"/>
                <w:spacing w:val="-4"/>
                <w:sz w:val="17"/>
              </w:rPr>
              <w:t>partie importante </w:t>
            </w:r>
            <w:r>
              <w:rPr>
                <w:color w:val="58595B"/>
                <w:sz w:val="17"/>
              </w:rPr>
              <w:t>de</w:t>
            </w:r>
            <w:r>
              <w:rPr>
                <w:color w:val="58595B"/>
                <w:spacing w:val="-25"/>
                <w:sz w:val="17"/>
              </w:rPr>
              <w:t> </w:t>
            </w:r>
            <w:r>
              <w:rPr>
                <w:color w:val="58595B"/>
                <w:spacing w:val="-4"/>
                <w:sz w:val="17"/>
              </w:rPr>
              <w:t>la rémunération.</w:t>
            </w:r>
          </w:p>
        </w:tc>
      </w:tr>
      <w:tr>
        <w:trPr>
          <w:trHeight w:val="229" w:hRule="atLeast"/>
        </w:trPr>
        <w:tc>
          <w:tcPr>
            <w:tcW w:w="1923"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839"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3402" w:type="dxa"/>
            <w:tcBorders>
              <w:top w:val="single" w:sz="12" w:space="0" w:color="FFFFFF"/>
              <w:left w:val="single" w:sz="12" w:space="0" w:color="FFFFFF"/>
              <w:bottom w:val="nil"/>
              <w:right w:val="single" w:sz="12" w:space="0" w:color="FFFFFF"/>
            </w:tcBorders>
            <w:shd w:val="clear" w:color="auto" w:fill="F9D8D4"/>
          </w:tcPr>
          <w:p>
            <w:pPr>
              <w:pStyle w:val="TableParagraph"/>
              <w:rPr>
                <w:rFonts w:ascii="Times New Roman"/>
                <w:sz w:val="16"/>
              </w:rPr>
            </w:pPr>
          </w:p>
        </w:tc>
        <w:tc>
          <w:tcPr>
            <w:tcW w:w="2003" w:type="dxa"/>
            <w:tcBorders>
              <w:top w:val="single" w:sz="12" w:space="0" w:color="FFFFFF"/>
              <w:left w:val="single" w:sz="12" w:space="0" w:color="FFFFFF"/>
              <w:bottom w:val="nil"/>
              <w:right w:val="single" w:sz="12" w:space="0" w:color="FFFFFF"/>
            </w:tcBorders>
            <w:shd w:val="clear" w:color="auto" w:fill="F9D8D4"/>
          </w:tcPr>
          <w:p>
            <w:pPr>
              <w:pStyle w:val="TableParagraph"/>
              <w:spacing w:line="176" w:lineRule="exact" w:before="34"/>
              <w:ind w:left="166"/>
              <w:rPr>
                <w:sz w:val="17"/>
              </w:rPr>
            </w:pPr>
            <w:r>
              <w:rPr>
                <w:color w:val="58595B"/>
                <w:sz w:val="17"/>
              </w:rPr>
              <w:t>Département des</w:t>
            </w:r>
          </w:p>
        </w:tc>
        <w:tc>
          <w:tcPr>
            <w:tcW w:w="5188"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71" w:lineRule="auto" w:before="34"/>
              <w:ind w:left="165" w:right="285"/>
              <w:rPr>
                <w:sz w:val="17"/>
              </w:rPr>
            </w:pPr>
            <w:r>
              <w:rPr>
                <w:color w:val="58595B"/>
                <w:spacing w:val="-3"/>
                <w:sz w:val="17"/>
              </w:rPr>
              <w:t>Cet </w:t>
            </w:r>
            <w:r>
              <w:rPr>
                <w:color w:val="58595B"/>
                <w:spacing w:val="-4"/>
                <w:sz w:val="17"/>
              </w:rPr>
              <w:t>indicateur </w:t>
            </w:r>
            <w:r>
              <w:rPr>
                <w:color w:val="58595B"/>
                <w:spacing w:val="-3"/>
                <w:sz w:val="17"/>
              </w:rPr>
              <w:t>reflète </w:t>
            </w:r>
            <w:r>
              <w:rPr>
                <w:color w:val="58595B"/>
                <w:spacing w:val="-4"/>
                <w:sz w:val="17"/>
              </w:rPr>
              <w:t>mieux </w:t>
            </w:r>
            <w:r>
              <w:rPr>
                <w:color w:val="58595B"/>
                <w:sz w:val="17"/>
              </w:rPr>
              <w:t>la </w:t>
            </w:r>
            <w:r>
              <w:rPr>
                <w:color w:val="58595B"/>
                <w:spacing w:val="-4"/>
                <w:sz w:val="17"/>
              </w:rPr>
              <w:t>situation réelle, notamment</w:t>
            </w:r>
            <w:r>
              <w:rPr>
                <w:color w:val="58595B"/>
                <w:spacing w:val="-26"/>
                <w:sz w:val="17"/>
              </w:rPr>
              <w:t> </w:t>
            </w:r>
            <w:r>
              <w:rPr>
                <w:color w:val="58595B"/>
                <w:spacing w:val="-4"/>
                <w:sz w:val="17"/>
              </w:rPr>
              <w:t>lorsqu’il existe plusieurs types d’enseignants </w:t>
            </w:r>
            <w:r>
              <w:rPr>
                <w:color w:val="58595B"/>
                <w:spacing w:val="-3"/>
                <w:sz w:val="17"/>
              </w:rPr>
              <w:t>(par </w:t>
            </w:r>
            <w:r>
              <w:rPr>
                <w:color w:val="58595B"/>
                <w:spacing w:val="-4"/>
                <w:sz w:val="17"/>
              </w:rPr>
              <w:t>exemple, contractuels </w:t>
            </w:r>
            <w:r>
              <w:rPr>
                <w:color w:val="58595B"/>
                <w:sz w:val="17"/>
              </w:rPr>
              <w:t>ou</w:t>
            </w:r>
            <w:r>
              <w:rPr>
                <w:color w:val="58595B"/>
                <w:spacing w:val="-8"/>
                <w:sz w:val="17"/>
              </w:rPr>
              <w:t> </w:t>
            </w:r>
            <w:r>
              <w:rPr>
                <w:color w:val="58595B"/>
                <w:spacing w:val="-4"/>
                <w:sz w:val="17"/>
              </w:rPr>
              <w:t>bénévoles),</w:t>
            </w:r>
            <w:r>
              <w:rPr>
                <w:color w:val="58595B"/>
                <w:spacing w:val="-7"/>
                <w:sz w:val="17"/>
              </w:rPr>
              <w:t> </w:t>
            </w:r>
            <w:r>
              <w:rPr>
                <w:color w:val="58595B"/>
                <w:sz w:val="17"/>
              </w:rPr>
              <w:t>ou</w:t>
            </w:r>
            <w:r>
              <w:rPr>
                <w:color w:val="58595B"/>
                <w:spacing w:val="-8"/>
                <w:sz w:val="17"/>
              </w:rPr>
              <w:t> </w:t>
            </w:r>
            <w:r>
              <w:rPr>
                <w:color w:val="58595B"/>
                <w:spacing w:val="-4"/>
                <w:sz w:val="17"/>
              </w:rPr>
              <w:t>lorsque</w:t>
            </w:r>
            <w:r>
              <w:rPr>
                <w:color w:val="58595B"/>
                <w:spacing w:val="-7"/>
                <w:sz w:val="17"/>
              </w:rPr>
              <w:t> </w:t>
            </w:r>
            <w:r>
              <w:rPr>
                <w:color w:val="58595B"/>
                <w:spacing w:val="-3"/>
                <w:sz w:val="17"/>
              </w:rPr>
              <w:t>les</w:t>
            </w:r>
            <w:r>
              <w:rPr>
                <w:color w:val="58595B"/>
                <w:spacing w:val="-7"/>
                <w:sz w:val="17"/>
              </w:rPr>
              <w:t> </w:t>
            </w:r>
            <w:r>
              <w:rPr>
                <w:color w:val="58595B"/>
                <w:spacing w:val="-4"/>
                <w:sz w:val="17"/>
              </w:rPr>
              <w:t>effectifs</w:t>
            </w:r>
            <w:r>
              <w:rPr>
                <w:color w:val="58595B"/>
                <w:spacing w:val="-8"/>
                <w:sz w:val="17"/>
              </w:rPr>
              <w:t> </w:t>
            </w:r>
            <w:r>
              <w:rPr>
                <w:color w:val="58595B"/>
                <w:spacing w:val="-4"/>
                <w:sz w:val="17"/>
              </w:rPr>
              <w:t>comptent</w:t>
            </w:r>
            <w:r>
              <w:rPr>
                <w:color w:val="58595B"/>
                <w:spacing w:val="-7"/>
                <w:sz w:val="17"/>
              </w:rPr>
              <w:t> </w:t>
            </w:r>
            <w:r>
              <w:rPr>
                <w:color w:val="58595B"/>
                <w:sz w:val="17"/>
              </w:rPr>
              <w:t>un</w:t>
            </w:r>
            <w:r>
              <w:rPr>
                <w:color w:val="58595B"/>
                <w:spacing w:val="-8"/>
                <w:sz w:val="17"/>
              </w:rPr>
              <w:t> </w:t>
            </w:r>
            <w:r>
              <w:rPr>
                <w:color w:val="58595B"/>
                <w:spacing w:val="-4"/>
                <w:sz w:val="17"/>
              </w:rPr>
              <w:t>grand</w:t>
            </w:r>
            <w:r>
              <w:rPr>
                <w:color w:val="58595B"/>
                <w:spacing w:val="-7"/>
                <w:sz w:val="17"/>
              </w:rPr>
              <w:t> </w:t>
            </w:r>
            <w:r>
              <w:rPr>
                <w:color w:val="58595B"/>
                <w:spacing w:val="-4"/>
                <w:sz w:val="17"/>
              </w:rPr>
              <w:t>nombre</w:t>
            </w:r>
          </w:p>
          <w:p>
            <w:pPr>
              <w:pStyle w:val="TableParagraph"/>
              <w:spacing w:line="271" w:lineRule="auto"/>
              <w:ind w:left="165" w:right="133"/>
              <w:rPr>
                <w:sz w:val="17"/>
              </w:rPr>
            </w:pPr>
            <w:r>
              <w:rPr>
                <w:color w:val="58595B"/>
                <w:spacing w:val="-4"/>
                <w:sz w:val="17"/>
              </w:rPr>
              <w:t>d’enseignants débutants </w:t>
            </w:r>
            <w:r>
              <w:rPr>
                <w:color w:val="58595B"/>
                <w:sz w:val="17"/>
              </w:rPr>
              <w:t>ou </w:t>
            </w:r>
            <w:r>
              <w:rPr>
                <w:color w:val="58595B"/>
                <w:spacing w:val="-3"/>
                <w:sz w:val="17"/>
              </w:rPr>
              <w:t>avec </w:t>
            </w:r>
            <w:r>
              <w:rPr>
                <w:color w:val="58595B"/>
                <w:sz w:val="17"/>
              </w:rPr>
              <w:t>de </w:t>
            </w:r>
            <w:r>
              <w:rPr>
                <w:color w:val="58595B"/>
                <w:spacing w:val="-4"/>
                <w:sz w:val="17"/>
              </w:rPr>
              <w:t>l’ancienneté </w:t>
            </w:r>
            <w:r>
              <w:rPr>
                <w:color w:val="58595B"/>
                <w:spacing w:val="-3"/>
                <w:sz w:val="17"/>
              </w:rPr>
              <w:t>(qui </w:t>
            </w:r>
            <w:r>
              <w:rPr>
                <w:color w:val="58595B"/>
                <w:sz w:val="17"/>
              </w:rPr>
              <w:t>ne </w:t>
            </w:r>
            <w:r>
              <w:rPr>
                <w:color w:val="58595B"/>
                <w:spacing w:val="-3"/>
                <w:sz w:val="17"/>
              </w:rPr>
              <w:t>sont </w:t>
            </w:r>
            <w:r>
              <w:rPr>
                <w:color w:val="58595B"/>
                <w:spacing w:val="-4"/>
                <w:sz w:val="17"/>
              </w:rPr>
              <w:t>donc </w:t>
            </w:r>
            <w:r>
              <w:rPr>
                <w:color w:val="58595B"/>
                <w:spacing w:val="-3"/>
                <w:sz w:val="17"/>
              </w:rPr>
              <w:t>pas </w:t>
            </w:r>
            <w:r>
              <w:rPr>
                <w:color w:val="58595B"/>
                <w:sz w:val="17"/>
              </w:rPr>
              <w:t>en </w:t>
            </w:r>
            <w:r>
              <w:rPr>
                <w:color w:val="58595B"/>
                <w:spacing w:val="-4"/>
                <w:sz w:val="17"/>
              </w:rPr>
              <w:t>milieu </w:t>
            </w:r>
            <w:r>
              <w:rPr>
                <w:color w:val="58595B"/>
                <w:sz w:val="17"/>
              </w:rPr>
              <w:t>de </w:t>
            </w:r>
            <w:r>
              <w:rPr>
                <w:color w:val="58595B"/>
                <w:spacing w:val="-4"/>
                <w:sz w:val="17"/>
              </w:rPr>
              <w:t>carrière).</w:t>
            </w:r>
          </w:p>
          <w:p>
            <w:pPr>
              <w:pStyle w:val="TableParagraph"/>
              <w:spacing w:line="271" w:lineRule="auto" w:before="109"/>
              <w:ind w:left="165" w:right="253"/>
              <w:rPr>
                <w:sz w:val="17"/>
              </w:rPr>
            </w:pPr>
            <w:r>
              <w:rPr>
                <w:color w:val="58595B"/>
                <w:sz w:val="17"/>
              </w:rPr>
              <w:t>Il </w:t>
            </w:r>
            <w:r>
              <w:rPr>
                <w:color w:val="58595B"/>
                <w:spacing w:val="-3"/>
                <w:sz w:val="17"/>
              </w:rPr>
              <w:t>doit être </w:t>
            </w:r>
            <w:r>
              <w:rPr>
                <w:color w:val="58595B"/>
                <w:spacing w:val="-4"/>
                <w:sz w:val="17"/>
              </w:rPr>
              <w:t>calculé </w:t>
            </w:r>
            <w:r>
              <w:rPr>
                <w:color w:val="58595B"/>
                <w:sz w:val="17"/>
              </w:rPr>
              <w:t>et </w:t>
            </w:r>
            <w:r>
              <w:rPr>
                <w:color w:val="58595B"/>
                <w:spacing w:val="-4"/>
                <w:sz w:val="17"/>
              </w:rPr>
              <w:t>différencié </w:t>
            </w:r>
            <w:r>
              <w:rPr>
                <w:color w:val="58595B"/>
                <w:spacing w:val="-3"/>
                <w:sz w:val="17"/>
              </w:rPr>
              <w:t>par type </w:t>
            </w:r>
            <w:r>
              <w:rPr>
                <w:color w:val="58595B"/>
                <w:spacing w:val="-4"/>
                <w:sz w:val="17"/>
              </w:rPr>
              <w:t>d’enseignant. </w:t>
            </w:r>
            <w:r>
              <w:rPr>
                <w:color w:val="58595B"/>
                <w:sz w:val="17"/>
              </w:rPr>
              <w:t>Le </w:t>
            </w:r>
            <w:r>
              <w:rPr>
                <w:color w:val="58595B"/>
                <w:spacing w:val="-4"/>
                <w:sz w:val="17"/>
              </w:rPr>
              <w:t>salaire </w:t>
            </w:r>
            <w:r>
              <w:rPr>
                <w:color w:val="58595B"/>
                <w:spacing w:val="-3"/>
                <w:sz w:val="17"/>
              </w:rPr>
              <w:t>des </w:t>
            </w:r>
            <w:r>
              <w:rPr>
                <w:color w:val="58595B"/>
                <w:spacing w:val="-4"/>
                <w:sz w:val="17"/>
              </w:rPr>
              <w:t>fonctionnaires </w:t>
            </w:r>
            <w:r>
              <w:rPr>
                <w:color w:val="58595B"/>
                <w:spacing w:val="-3"/>
                <w:sz w:val="17"/>
              </w:rPr>
              <w:t>peut être </w:t>
            </w:r>
            <w:r>
              <w:rPr>
                <w:color w:val="58595B"/>
                <w:spacing w:val="-4"/>
                <w:sz w:val="17"/>
              </w:rPr>
              <w:t>calculé </w:t>
            </w:r>
            <w:r>
              <w:rPr>
                <w:color w:val="58595B"/>
                <w:sz w:val="17"/>
              </w:rPr>
              <w:t>à </w:t>
            </w:r>
            <w:r>
              <w:rPr>
                <w:color w:val="58595B"/>
                <w:spacing w:val="-4"/>
                <w:sz w:val="17"/>
              </w:rPr>
              <w:t>partir </w:t>
            </w:r>
            <w:r>
              <w:rPr>
                <w:color w:val="58595B"/>
                <w:spacing w:val="-3"/>
                <w:sz w:val="17"/>
              </w:rPr>
              <w:t>des </w:t>
            </w:r>
            <w:r>
              <w:rPr>
                <w:color w:val="58595B"/>
                <w:spacing w:val="-4"/>
                <w:sz w:val="17"/>
              </w:rPr>
              <w:t>feuilles </w:t>
            </w:r>
            <w:r>
              <w:rPr>
                <w:color w:val="58595B"/>
                <w:sz w:val="17"/>
              </w:rPr>
              <w:t>de </w:t>
            </w:r>
            <w:r>
              <w:rPr>
                <w:color w:val="58595B"/>
                <w:spacing w:val="-4"/>
                <w:sz w:val="17"/>
              </w:rPr>
              <w:t>paie, </w:t>
            </w:r>
            <w:r>
              <w:rPr>
                <w:color w:val="58595B"/>
                <w:sz w:val="17"/>
              </w:rPr>
              <w:t>de la </w:t>
            </w:r>
            <w:r>
              <w:rPr>
                <w:color w:val="58595B"/>
                <w:spacing w:val="-4"/>
                <w:sz w:val="17"/>
              </w:rPr>
              <w:t>liste nominative </w:t>
            </w:r>
            <w:r>
              <w:rPr>
                <w:color w:val="58595B"/>
                <w:spacing w:val="-3"/>
                <w:sz w:val="17"/>
              </w:rPr>
              <w:t>des </w:t>
            </w:r>
            <w:r>
              <w:rPr>
                <w:color w:val="58595B"/>
                <w:spacing w:val="-4"/>
                <w:sz w:val="17"/>
              </w:rPr>
              <w:t>ressources humaines </w:t>
            </w:r>
            <w:r>
              <w:rPr>
                <w:color w:val="58595B"/>
                <w:spacing w:val="-3"/>
                <w:sz w:val="17"/>
              </w:rPr>
              <w:t>(qui </w:t>
            </w:r>
            <w:r>
              <w:rPr>
                <w:color w:val="58595B"/>
                <w:spacing w:val="-4"/>
                <w:sz w:val="17"/>
              </w:rPr>
              <w:t>référence les données salariales </w:t>
            </w:r>
            <w:r>
              <w:rPr>
                <w:color w:val="58595B"/>
                <w:spacing w:val="-3"/>
                <w:sz w:val="17"/>
              </w:rPr>
              <w:t>des </w:t>
            </w:r>
            <w:r>
              <w:rPr>
                <w:color w:val="58595B"/>
                <w:spacing w:val="-4"/>
                <w:sz w:val="17"/>
              </w:rPr>
              <w:t>fonctionnaires </w:t>
            </w:r>
            <w:r>
              <w:rPr>
                <w:color w:val="58595B"/>
                <w:sz w:val="17"/>
              </w:rPr>
              <w:t>en </w:t>
            </w:r>
            <w:r>
              <w:rPr>
                <w:color w:val="58595B"/>
                <w:spacing w:val="-4"/>
                <w:sz w:val="17"/>
              </w:rPr>
              <w:t>poste) </w:t>
            </w:r>
            <w:r>
              <w:rPr>
                <w:color w:val="58595B"/>
                <w:sz w:val="17"/>
              </w:rPr>
              <w:t>et du </w:t>
            </w:r>
            <w:r>
              <w:rPr>
                <w:color w:val="58595B"/>
                <w:spacing w:val="-4"/>
                <w:sz w:val="17"/>
              </w:rPr>
              <w:t>SIGE. Le</w:t>
            </w:r>
          </w:p>
          <w:p>
            <w:pPr>
              <w:pStyle w:val="TableParagraph"/>
              <w:spacing w:line="271" w:lineRule="auto"/>
              <w:ind w:left="165" w:right="124"/>
              <w:jc w:val="both"/>
              <w:rPr>
                <w:sz w:val="17"/>
              </w:rPr>
            </w:pPr>
            <w:r>
              <w:rPr>
                <w:color w:val="58595B"/>
                <w:spacing w:val="-4"/>
                <w:sz w:val="17"/>
              </w:rPr>
              <w:t>salaire </w:t>
            </w:r>
            <w:r>
              <w:rPr>
                <w:color w:val="58595B"/>
                <w:spacing w:val="-3"/>
                <w:sz w:val="17"/>
              </w:rPr>
              <w:t>des </w:t>
            </w:r>
            <w:r>
              <w:rPr>
                <w:color w:val="58595B"/>
                <w:spacing w:val="-4"/>
                <w:sz w:val="17"/>
              </w:rPr>
              <w:t>enseignants </w:t>
            </w:r>
            <w:r>
              <w:rPr>
                <w:color w:val="58595B"/>
                <w:spacing w:val="-3"/>
                <w:sz w:val="17"/>
              </w:rPr>
              <w:t>non </w:t>
            </w:r>
            <w:r>
              <w:rPr>
                <w:color w:val="58595B"/>
                <w:spacing w:val="-4"/>
                <w:sz w:val="17"/>
              </w:rPr>
              <w:t>fonctionnaires (enseignants bénévoles, communautaires, etc.) </w:t>
            </w:r>
            <w:r>
              <w:rPr>
                <w:color w:val="58595B"/>
                <w:spacing w:val="-3"/>
                <w:sz w:val="17"/>
              </w:rPr>
              <w:t>peut être </w:t>
            </w:r>
            <w:r>
              <w:rPr>
                <w:color w:val="58595B"/>
                <w:spacing w:val="-4"/>
                <w:sz w:val="17"/>
              </w:rPr>
              <w:t>calculé </w:t>
            </w:r>
            <w:r>
              <w:rPr>
                <w:color w:val="58595B"/>
                <w:sz w:val="17"/>
              </w:rPr>
              <w:t>en </w:t>
            </w:r>
            <w:r>
              <w:rPr>
                <w:color w:val="58595B"/>
                <w:spacing w:val="-4"/>
                <w:sz w:val="17"/>
              </w:rPr>
              <w:t>déterminant </w:t>
            </w:r>
            <w:r>
              <w:rPr>
                <w:color w:val="58595B"/>
                <w:spacing w:val="-3"/>
                <w:sz w:val="17"/>
              </w:rPr>
              <w:t>leur</w:t>
            </w:r>
            <w:r>
              <w:rPr>
                <w:color w:val="58595B"/>
                <w:spacing w:val="-31"/>
                <w:sz w:val="17"/>
              </w:rPr>
              <w:t> </w:t>
            </w:r>
            <w:r>
              <w:rPr>
                <w:color w:val="58595B"/>
                <w:spacing w:val="-4"/>
                <w:sz w:val="17"/>
              </w:rPr>
              <w:t>nombre </w:t>
            </w:r>
            <w:r>
              <w:rPr>
                <w:color w:val="58595B"/>
                <w:sz w:val="17"/>
              </w:rPr>
              <w:t>à</w:t>
            </w:r>
            <w:r>
              <w:rPr>
                <w:color w:val="58595B"/>
                <w:spacing w:val="-8"/>
                <w:sz w:val="17"/>
              </w:rPr>
              <w:t> </w:t>
            </w:r>
            <w:r>
              <w:rPr>
                <w:color w:val="58595B"/>
                <w:spacing w:val="-4"/>
                <w:sz w:val="17"/>
              </w:rPr>
              <w:t>partir</w:t>
            </w:r>
            <w:r>
              <w:rPr>
                <w:color w:val="58595B"/>
                <w:spacing w:val="-7"/>
                <w:sz w:val="17"/>
              </w:rPr>
              <w:t> </w:t>
            </w:r>
            <w:r>
              <w:rPr>
                <w:color w:val="58595B"/>
                <w:spacing w:val="-3"/>
                <w:sz w:val="17"/>
              </w:rPr>
              <w:t>des</w:t>
            </w:r>
            <w:r>
              <w:rPr>
                <w:color w:val="58595B"/>
                <w:spacing w:val="-7"/>
                <w:sz w:val="17"/>
              </w:rPr>
              <w:t> </w:t>
            </w:r>
            <w:r>
              <w:rPr>
                <w:color w:val="58595B"/>
                <w:spacing w:val="-4"/>
                <w:sz w:val="17"/>
              </w:rPr>
              <w:t>données</w:t>
            </w:r>
            <w:r>
              <w:rPr>
                <w:color w:val="58595B"/>
                <w:spacing w:val="-8"/>
                <w:sz w:val="17"/>
              </w:rPr>
              <w:t> </w:t>
            </w:r>
            <w:r>
              <w:rPr>
                <w:color w:val="58595B"/>
                <w:sz w:val="17"/>
              </w:rPr>
              <w:t>du</w:t>
            </w:r>
            <w:r>
              <w:rPr>
                <w:color w:val="58595B"/>
                <w:spacing w:val="-7"/>
                <w:sz w:val="17"/>
              </w:rPr>
              <w:t> </w:t>
            </w:r>
            <w:r>
              <w:rPr>
                <w:color w:val="58595B"/>
                <w:spacing w:val="-3"/>
                <w:sz w:val="17"/>
              </w:rPr>
              <w:t>SIGE</w:t>
            </w:r>
            <w:r>
              <w:rPr>
                <w:color w:val="58595B"/>
                <w:spacing w:val="-7"/>
                <w:sz w:val="17"/>
              </w:rPr>
              <w:t> </w:t>
            </w:r>
            <w:r>
              <w:rPr>
                <w:color w:val="58595B"/>
                <w:spacing w:val="-4"/>
                <w:sz w:val="17"/>
              </w:rPr>
              <w:t>et/ou</w:t>
            </w:r>
            <w:r>
              <w:rPr>
                <w:color w:val="58595B"/>
                <w:spacing w:val="-7"/>
                <w:sz w:val="17"/>
              </w:rPr>
              <w:t> </w:t>
            </w:r>
            <w:r>
              <w:rPr>
                <w:color w:val="58595B"/>
                <w:spacing w:val="-3"/>
                <w:sz w:val="17"/>
              </w:rPr>
              <w:t>des</w:t>
            </w:r>
            <w:r>
              <w:rPr>
                <w:color w:val="58595B"/>
                <w:spacing w:val="-8"/>
                <w:sz w:val="17"/>
              </w:rPr>
              <w:t> </w:t>
            </w:r>
            <w:r>
              <w:rPr>
                <w:color w:val="58595B"/>
                <w:spacing w:val="-4"/>
                <w:sz w:val="17"/>
              </w:rPr>
              <w:t>ressources</w:t>
            </w:r>
            <w:r>
              <w:rPr>
                <w:color w:val="58595B"/>
                <w:spacing w:val="-7"/>
                <w:sz w:val="17"/>
              </w:rPr>
              <w:t> </w:t>
            </w:r>
            <w:r>
              <w:rPr>
                <w:color w:val="58595B"/>
                <w:spacing w:val="-4"/>
                <w:sz w:val="17"/>
              </w:rPr>
              <w:t>humaines.</w:t>
            </w:r>
          </w:p>
          <w:p>
            <w:pPr>
              <w:pStyle w:val="TableParagraph"/>
              <w:spacing w:line="271" w:lineRule="auto"/>
              <w:ind w:left="165" w:right="282"/>
              <w:rPr>
                <w:sz w:val="17"/>
              </w:rPr>
            </w:pPr>
            <w:r>
              <w:rPr>
                <w:color w:val="58595B"/>
                <w:sz w:val="17"/>
              </w:rPr>
              <w:t>Le </w:t>
            </w:r>
            <w:r>
              <w:rPr>
                <w:color w:val="58595B"/>
                <w:spacing w:val="-4"/>
                <w:sz w:val="17"/>
              </w:rPr>
              <w:t>budget </w:t>
            </w:r>
            <w:r>
              <w:rPr>
                <w:color w:val="58595B"/>
                <w:spacing w:val="-3"/>
                <w:sz w:val="17"/>
              </w:rPr>
              <w:t>réel peut </w:t>
            </w:r>
            <w:r>
              <w:rPr>
                <w:color w:val="58595B"/>
                <w:spacing w:val="-4"/>
                <w:sz w:val="17"/>
              </w:rPr>
              <w:t>prendre </w:t>
            </w:r>
            <w:r>
              <w:rPr>
                <w:color w:val="58595B"/>
                <w:sz w:val="17"/>
              </w:rPr>
              <w:t>en </w:t>
            </w:r>
            <w:r>
              <w:rPr>
                <w:color w:val="58595B"/>
                <w:spacing w:val="-4"/>
                <w:sz w:val="17"/>
              </w:rPr>
              <w:t>compte </w:t>
            </w:r>
            <w:r>
              <w:rPr>
                <w:color w:val="58595B"/>
                <w:spacing w:val="-3"/>
                <w:sz w:val="17"/>
              </w:rPr>
              <w:t>les </w:t>
            </w:r>
            <w:r>
              <w:rPr>
                <w:color w:val="58595B"/>
                <w:spacing w:val="-4"/>
                <w:sz w:val="17"/>
              </w:rPr>
              <w:t>subventions, aides ou incitations publiques versées </w:t>
            </w:r>
            <w:r>
              <w:rPr>
                <w:color w:val="58595B"/>
                <w:spacing w:val="-3"/>
                <w:sz w:val="17"/>
              </w:rPr>
              <w:t>aux </w:t>
            </w:r>
            <w:r>
              <w:rPr>
                <w:color w:val="58595B"/>
                <w:spacing w:val="-4"/>
                <w:sz w:val="17"/>
              </w:rPr>
              <w:t>enseignants </w:t>
            </w:r>
            <w:r>
              <w:rPr>
                <w:color w:val="58595B"/>
                <w:spacing w:val="-3"/>
                <w:sz w:val="17"/>
              </w:rPr>
              <w:t>non </w:t>
            </w:r>
            <w:r>
              <w:rPr>
                <w:color w:val="58595B"/>
                <w:spacing w:val="-4"/>
                <w:sz w:val="17"/>
              </w:rPr>
              <w:t>fonctionnaires.</w:t>
            </w:r>
          </w:p>
          <w:p>
            <w:pPr>
              <w:pStyle w:val="TableParagraph"/>
              <w:spacing w:line="220" w:lineRule="atLeast" w:before="46"/>
              <w:ind w:left="165" w:right="133"/>
              <w:rPr>
                <w:sz w:val="17"/>
              </w:rPr>
            </w:pPr>
            <w:r>
              <w:rPr/>
              <w:drawing>
                <wp:inline distT="0" distB="0" distL="0" distR="0">
                  <wp:extent cx="647992" cy="139039"/>
                  <wp:effectExtent l="0" t="0" r="0" b="0"/>
                  <wp:docPr id="31" name="image16.png" descr=""/>
                  <wp:cNvGraphicFramePr>
                    <a:graphicFrameLocks noChangeAspect="1"/>
                  </wp:cNvGraphicFramePr>
                  <a:graphic>
                    <a:graphicData uri="http://schemas.openxmlformats.org/drawingml/2006/picture">
                      <pic:pic>
                        <pic:nvPicPr>
                          <pic:cNvPr id="32" name="image16.png"/>
                          <pic:cNvPicPr/>
                        </pic:nvPicPr>
                        <pic:blipFill>
                          <a:blip r:embed="rId26" cstate="print"/>
                          <a:stretch>
                            <a:fillRect/>
                          </a:stretch>
                        </pic:blipFill>
                        <pic:spPr>
                          <a:xfrm>
                            <a:off x="0" y="0"/>
                            <a:ext cx="647992" cy="139039"/>
                          </a:xfrm>
                          <a:prstGeom prst="rect">
                            <a:avLst/>
                          </a:prstGeom>
                        </pic:spPr>
                      </pic:pic>
                    </a:graphicData>
                  </a:graphic>
                </wp:inline>
              </w:drawing>
            </w:r>
            <w:r>
              <w:rPr/>
            </w:r>
            <w:r>
              <w:rPr>
                <w:rFonts w:ascii="Times New Roman" w:hAnsi="Times New Roman"/>
                <w:spacing w:val="-11"/>
                <w:sz w:val="20"/>
              </w:rPr>
              <w:t> </w:t>
            </w:r>
            <w:r>
              <w:rPr>
                <w:color w:val="58595B"/>
                <w:spacing w:val="-3"/>
                <w:sz w:val="17"/>
              </w:rPr>
              <w:t>Dans </w:t>
            </w:r>
            <w:r>
              <w:rPr>
                <w:color w:val="58595B"/>
                <w:sz w:val="17"/>
              </w:rPr>
              <w:t>la </w:t>
            </w:r>
            <w:r>
              <w:rPr>
                <w:color w:val="58595B"/>
                <w:spacing w:val="-4"/>
                <w:sz w:val="17"/>
              </w:rPr>
              <w:t>mesure </w:t>
            </w:r>
            <w:r>
              <w:rPr>
                <w:color w:val="58595B"/>
                <w:sz w:val="17"/>
              </w:rPr>
              <w:t>du </w:t>
            </w:r>
            <w:r>
              <w:rPr>
                <w:color w:val="58595B"/>
                <w:spacing w:val="-4"/>
                <w:sz w:val="17"/>
              </w:rPr>
              <w:t>possible, </w:t>
            </w:r>
            <w:r>
              <w:rPr>
                <w:color w:val="58595B"/>
                <w:sz w:val="17"/>
              </w:rPr>
              <w:t>il </w:t>
            </w:r>
            <w:r>
              <w:rPr>
                <w:color w:val="58595B"/>
                <w:spacing w:val="-3"/>
                <w:sz w:val="17"/>
              </w:rPr>
              <w:t>est </w:t>
            </w:r>
            <w:r>
              <w:rPr>
                <w:color w:val="58595B"/>
                <w:spacing w:val="-4"/>
                <w:sz w:val="17"/>
              </w:rPr>
              <w:t>important de distinguer</w:t>
            </w:r>
            <w:r>
              <w:rPr>
                <w:color w:val="58595B"/>
                <w:spacing w:val="-8"/>
                <w:sz w:val="17"/>
              </w:rPr>
              <w:t> </w:t>
            </w:r>
            <w:r>
              <w:rPr>
                <w:color w:val="58595B"/>
                <w:sz w:val="17"/>
              </w:rPr>
              <w:t>–</w:t>
            </w:r>
            <w:r>
              <w:rPr>
                <w:color w:val="58595B"/>
                <w:spacing w:val="-7"/>
                <w:sz w:val="17"/>
              </w:rPr>
              <w:t> </w:t>
            </w:r>
            <w:r>
              <w:rPr>
                <w:color w:val="58595B"/>
                <w:spacing w:val="-3"/>
                <w:sz w:val="17"/>
              </w:rPr>
              <w:t>dans</w:t>
            </w:r>
            <w:r>
              <w:rPr>
                <w:color w:val="58595B"/>
                <w:spacing w:val="-7"/>
                <w:sz w:val="17"/>
              </w:rPr>
              <w:t> </w:t>
            </w:r>
            <w:r>
              <w:rPr>
                <w:color w:val="58595B"/>
                <w:sz w:val="17"/>
              </w:rPr>
              <w:t>le</w:t>
            </w:r>
            <w:r>
              <w:rPr>
                <w:color w:val="58595B"/>
                <w:spacing w:val="-7"/>
                <w:sz w:val="17"/>
              </w:rPr>
              <w:t> </w:t>
            </w:r>
            <w:r>
              <w:rPr>
                <w:color w:val="58595B"/>
                <w:spacing w:val="-4"/>
                <w:sz w:val="17"/>
              </w:rPr>
              <w:t>numérateur</w:t>
            </w:r>
            <w:r>
              <w:rPr>
                <w:color w:val="58595B"/>
                <w:spacing w:val="-7"/>
                <w:sz w:val="17"/>
              </w:rPr>
              <w:t> </w:t>
            </w:r>
            <w:r>
              <w:rPr>
                <w:color w:val="58595B"/>
                <w:spacing w:val="-4"/>
                <w:sz w:val="17"/>
              </w:rPr>
              <w:t>comme</w:t>
            </w:r>
            <w:r>
              <w:rPr>
                <w:color w:val="58595B"/>
                <w:spacing w:val="-7"/>
                <w:sz w:val="17"/>
              </w:rPr>
              <w:t> </w:t>
            </w:r>
            <w:r>
              <w:rPr>
                <w:color w:val="58595B"/>
                <w:spacing w:val="-3"/>
                <w:sz w:val="17"/>
              </w:rPr>
              <w:t>dans</w:t>
            </w:r>
            <w:r>
              <w:rPr>
                <w:color w:val="58595B"/>
                <w:spacing w:val="-8"/>
                <w:sz w:val="17"/>
              </w:rPr>
              <w:t> </w:t>
            </w:r>
            <w:r>
              <w:rPr>
                <w:color w:val="58595B"/>
                <w:sz w:val="17"/>
              </w:rPr>
              <w:t>le</w:t>
            </w:r>
            <w:r>
              <w:rPr>
                <w:color w:val="58595B"/>
                <w:spacing w:val="-7"/>
                <w:sz w:val="17"/>
              </w:rPr>
              <w:t> </w:t>
            </w:r>
            <w:r>
              <w:rPr>
                <w:color w:val="58595B"/>
                <w:spacing w:val="-4"/>
                <w:sz w:val="17"/>
              </w:rPr>
              <w:t>dénominateur</w:t>
            </w:r>
            <w:r>
              <w:rPr>
                <w:color w:val="58595B"/>
                <w:spacing w:val="-7"/>
                <w:sz w:val="17"/>
              </w:rPr>
              <w:t> </w:t>
            </w:r>
            <w:r>
              <w:rPr>
                <w:color w:val="58595B"/>
                <w:sz w:val="17"/>
              </w:rPr>
              <w:t>–</w:t>
            </w:r>
            <w:r>
              <w:rPr>
                <w:color w:val="58595B"/>
                <w:spacing w:val="-7"/>
                <w:sz w:val="17"/>
              </w:rPr>
              <w:t> </w:t>
            </w:r>
            <w:r>
              <w:rPr>
                <w:color w:val="58595B"/>
                <w:spacing w:val="-3"/>
                <w:sz w:val="17"/>
              </w:rPr>
              <w:t>les </w:t>
            </w:r>
            <w:r>
              <w:rPr>
                <w:color w:val="58595B"/>
                <w:spacing w:val="-4"/>
                <w:sz w:val="17"/>
              </w:rPr>
              <w:t>enseignants </w:t>
            </w:r>
            <w:r>
              <w:rPr>
                <w:color w:val="58595B"/>
                <w:spacing w:val="-3"/>
                <w:sz w:val="17"/>
              </w:rPr>
              <w:t>qui </w:t>
            </w:r>
            <w:r>
              <w:rPr>
                <w:color w:val="58595B"/>
                <w:spacing w:val="-4"/>
                <w:sz w:val="17"/>
              </w:rPr>
              <w:t>enseignent réellement </w:t>
            </w:r>
            <w:r>
              <w:rPr>
                <w:color w:val="58595B"/>
                <w:sz w:val="17"/>
              </w:rPr>
              <w:t>de </w:t>
            </w:r>
            <w:r>
              <w:rPr>
                <w:color w:val="58595B"/>
                <w:spacing w:val="-3"/>
                <w:sz w:val="17"/>
              </w:rPr>
              <w:t>ceux qui sont </w:t>
            </w:r>
            <w:r>
              <w:rPr>
                <w:color w:val="58595B"/>
                <w:spacing w:val="-4"/>
                <w:sz w:val="17"/>
              </w:rPr>
              <w:t>recrutés et rémunérés comme enseignants, </w:t>
            </w:r>
            <w:r>
              <w:rPr>
                <w:color w:val="58595B"/>
                <w:spacing w:val="-3"/>
                <w:sz w:val="17"/>
              </w:rPr>
              <w:t>mais qui </w:t>
            </w:r>
            <w:r>
              <w:rPr>
                <w:color w:val="58595B"/>
                <w:spacing w:val="-4"/>
                <w:sz w:val="17"/>
              </w:rPr>
              <w:t>occupent </w:t>
            </w:r>
            <w:r>
              <w:rPr>
                <w:color w:val="58595B"/>
                <w:spacing w:val="-3"/>
                <w:sz w:val="17"/>
              </w:rPr>
              <w:t>des </w:t>
            </w:r>
            <w:r>
              <w:rPr>
                <w:color w:val="58595B"/>
                <w:spacing w:val="-4"/>
                <w:sz w:val="17"/>
              </w:rPr>
              <w:t>fonctions administratives </w:t>
            </w:r>
            <w:r>
              <w:rPr>
                <w:color w:val="58595B"/>
                <w:sz w:val="17"/>
              </w:rPr>
              <w:t>ou </w:t>
            </w:r>
            <w:r>
              <w:rPr>
                <w:color w:val="58595B"/>
                <w:spacing w:val="-4"/>
                <w:sz w:val="17"/>
              </w:rPr>
              <w:t>autres </w:t>
            </w:r>
            <w:r>
              <w:rPr>
                <w:color w:val="58595B"/>
                <w:spacing w:val="-3"/>
                <w:sz w:val="17"/>
              </w:rPr>
              <w:t>(par </w:t>
            </w:r>
            <w:r>
              <w:rPr>
                <w:color w:val="58595B"/>
                <w:spacing w:val="-4"/>
                <w:sz w:val="17"/>
              </w:rPr>
              <w:t>exemple, </w:t>
            </w:r>
            <w:r>
              <w:rPr>
                <w:color w:val="58595B"/>
                <w:spacing w:val="-3"/>
                <w:sz w:val="17"/>
              </w:rPr>
              <w:t>les </w:t>
            </w:r>
            <w:r>
              <w:rPr>
                <w:color w:val="58595B"/>
                <w:spacing w:val="-4"/>
                <w:sz w:val="17"/>
              </w:rPr>
              <w:t>agents d’entretien </w:t>
            </w:r>
            <w:r>
              <w:rPr>
                <w:color w:val="58595B"/>
                <w:sz w:val="17"/>
              </w:rPr>
              <w:t>ou</w:t>
            </w:r>
            <w:r>
              <w:rPr>
                <w:color w:val="58595B"/>
                <w:spacing w:val="-34"/>
                <w:sz w:val="17"/>
              </w:rPr>
              <w:t> </w:t>
            </w:r>
            <w:r>
              <w:rPr>
                <w:color w:val="58595B"/>
                <w:spacing w:val="-4"/>
                <w:sz w:val="17"/>
              </w:rPr>
              <w:t>de restauration</w:t>
            </w:r>
            <w:r>
              <w:rPr>
                <w:color w:val="58595B"/>
                <w:spacing w:val="-8"/>
                <w:sz w:val="17"/>
              </w:rPr>
              <w:t> </w:t>
            </w:r>
            <w:r>
              <w:rPr>
                <w:color w:val="58595B"/>
                <w:spacing w:val="-4"/>
                <w:sz w:val="17"/>
              </w:rPr>
              <w:t>scolaire).</w:t>
            </w:r>
          </w:p>
        </w:tc>
      </w:tr>
      <w:tr>
        <w:trPr>
          <w:trHeight w:val="190"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70" w:lineRule="exact"/>
              <w:ind w:left="166"/>
              <w:rPr>
                <w:sz w:val="17"/>
              </w:rPr>
            </w:pPr>
            <w:r>
              <w:rPr>
                <w:color w:val="58595B"/>
                <w:sz w:val="17"/>
              </w:rPr>
              <w:t>finances du ministère</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4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90" w:lineRule="exact"/>
              <w:ind w:left="166"/>
              <w:rPr>
                <w:sz w:val="17"/>
              </w:rPr>
            </w:pPr>
            <w:r>
              <w:rPr>
                <w:color w:val="58595B"/>
                <w:sz w:val="17"/>
              </w:rPr>
              <w:t>de l’éducation</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4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76" w:lineRule="exact" w:before="51"/>
              <w:ind w:left="166"/>
              <w:rPr>
                <w:sz w:val="17"/>
              </w:rPr>
            </w:pPr>
            <w:r>
              <w:rPr>
                <w:color w:val="58595B"/>
                <w:sz w:val="17"/>
              </w:rPr>
              <w:t>Département des</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190"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70" w:lineRule="exact"/>
              <w:ind w:left="166"/>
              <w:rPr>
                <w:sz w:val="17"/>
              </w:rPr>
            </w:pPr>
            <w:r>
              <w:rPr>
                <w:color w:val="58595B"/>
                <w:sz w:val="17"/>
              </w:rPr>
              <w:t>ressources humaines</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190"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2"/>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70" w:lineRule="exact"/>
              <w:ind w:left="166"/>
              <w:rPr>
                <w:sz w:val="17"/>
              </w:rPr>
            </w:pPr>
            <w:r>
              <w:rPr>
                <w:color w:val="58595B"/>
                <w:sz w:val="17"/>
              </w:rPr>
              <w:t>du ministère de</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225"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3402" w:type="dxa"/>
            <w:tcBorders>
              <w:top w:val="nil"/>
              <w:left w:val="single" w:sz="12" w:space="0" w:color="FFFFFF"/>
              <w:bottom w:val="nil"/>
              <w:right w:val="single" w:sz="12" w:space="0" w:color="FFFFFF"/>
            </w:tcBorders>
            <w:shd w:val="clear" w:color="auto" w:fill="F9D8D4"/>
          </w:tcPr>
          <w:p>
            <w:pPr>
              <w:pStyle w:val="TableParagraph"/>
              <w:rPr>
                <w:rFonts w:ascii="Times New Roman"/>
                <w:sz w:val="16"/>
              </w:rPr>
            </w:pPr>
          </w:p>
        </w:tc>
        <w:tc>
          <w:tcPr>
            <w:tcW w:w="2003" w:type="dxa"/>
            <w:tcBorders>
              <w:top w:val="nil"/>
              <w:left w:val="single" w:sz="12" w:space="0" w:color="FFFFFF"/>
              <w:bottom w:val="nil"/>
              <w:right w:val="single" w:sz="12" w:space="0" w:color="FFFFFF"/>
            </w:tcBorders>
            <w:shd w:val="clear" w:color="auto" w:fill="F9D8D4"/>
          </w:tcPr>
          <w:p>
            <w:pPr>
              <w:pStyle w:val="TableParagraph"/>
              <w:spacing w:line="190" w:lineRule="exact"/>
              <w:ind w:left="166"/>
              <w:rPr>
                <w:sz w:val="17"/>
              </w:rPr>
            </w:pPr>
            <w:r>
              <w:rPr>
                <w:color w:val="58595B"/>
                <w:sz w:val="17"/>
              </w:rPr>
              <w:t>l’éducation</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626"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rPr>
                <w:sz w:val="18"/>
              </w:rPr>
            </w:pPr>
          </w:p>
          <w:p>
            <w:pPr>
              <w:pStyle w:val="TableParagraph"/>
              <w:spacing w:before="5"/>
              <w:rPr>
                <w:sz w:val="19"/>
              </w:rPr>
            </w:pPr>
          </w:p>
          <w:p>
            <w:pPr>
              <w:pStyle w:val="TableParagraph"/>
              <w:spacing w:line="176" w:lineRule="exact"/>
              <w:ind w:left="166"/>
              <w:rPr>
                <w:sz w:val="17"/>
              </w:rPr>
            </w:pPr>
            <w:r>
              <w:rPr>
                <w:color w:val="58595B"/>
                <w:sz w:val="17"/>
              </w:rPr>
              <w:t>(à partir des</w:t>
            </w:r>
          </w:p>
        </w:tc>
        <w:tc>
          <w:tcPr>
            <w:tcW w:w="3402" w:type="dxa"/>
            <w:tcBorders>
              <w:top w:val="nil"/>
              <w:left w:val="single" w:sz="12" w:space="0" w:color="FFFFFF"/>
              <w:bottom w:val="nil"/>
              <w:right w:val="single" w:sz="12" w:space="0" w:color="FFFFFF"/>
            </w:tcBorders>
            <w:shd w:val="clear" w:color="auto" w:fill="F9D8D4"/>
          </w:tcPr>
          <w:p>
            <w:pPr>
              <w:pStyle w:val="TableParagraph"/>
              <w:spacing w:line="271" w:lineRule="auto" w:before="30"/>
              <w:ind w:left="525" w:right="441" w:firstLine="2"/>
              <w:jc w:val="center"/>
              <w:rPr>
                <w:sz w:val="17"/>
              </w:rPr>
            </w:pPr>
            <w:r>
              <w:rPr>
                <w:color w:val="58595B"/>
                <w:spacing w:val="-6"/>
                <w:sz w:val="17"/>
              </w:rPr>
              <w:t>Total </w:t>
            </w:r>
            <w:r>
              <w:rPr>
                <w:color w:val="58595B"/>
                <w:sz w:val="17"/>
              </w:rPr>
              <w:t>des </w:t>
            </w:r>
            <w:r>
              <w:rPr>
                <w:color w:val="58595B"/>
                <w:spacing w:val="-3"/>
                <w:sz w:val="17"/>
              </w:rPr>
              <w:t>dépenses affectées </w:t>
            </w:r>
            <w:r>
              <w:rPr>
                <w:color w:val="58595B"/>
                <w:sz w:val="17"/>
              </w:rPr>
              <w:t>à la </w:t>
            </w:r>
            <w:r>
              <w:rPr>
                <w:color w:val="58595B"/>
                <w:spacing w:val="-3"/>
                <w:sz w:val="17"/>
              </w:rPr>
              <w:t>rémunération </w:t>
            </w:r>
            <w:r>
              <w:rPr>
                <w:color w:val="58595B"/>
                <w:sz w:val="17"/>
              </w:rPr>
              <w:t>des</w:t>
            </w:r>
            <w:r>
              <w:rPr>
                <w:color w:val="58595B"/>
                <w:spacing w:val="-18"/>
                <w:sz w:val="17"/>
              </w:rPr>
              <w:t> </w:t>
            </w:r>
            <w:r>
              <w:rPr>
                <w:color w:val="58595B"/>
                <w:spacing w:val="-3"/>
                <w:sz w:val="17"/>
              </w:rPr>
              <w:t>enseignants</w:t>
            </w:r>
          </w:p>
          <w:p>
            <w:pPr>
              <w:pStyle w:val="TableParagraph"/>
              <w:tabs>
                <w:tab w:pos="2984" w:val="left" w:leader="none"/>
              </w:tabs>
              <w:spacing w:line="135" w:lineRule="exact"/>
              <w:ind w:left="84"/>
              <w:jc w:val="center"/>
              <w:rPr>
                <w:rFonts w:ascii="Times New Roman"/>
                <w:sz w:val="17"/>
              </w:rPr>
            </w:pPr>
            <w:r>
              <w:rPr>
                <w:rFonts w:ascii="Times New Roman"/>
                <w:color w:val="58595B"/>
                <w:sz w:val="17"/>
                <w:u w:val="single" w:color="58595B"/>
              </w:rPr>
              <w:t> </w:t>
              <w:tab/>
            </w:r>
          </w:p>
        </w:tc>
        <w:tc>
          <w:tcPr>
            <w:tcW w:w="2003" w:type="dxa"/>
            <w:tcBorders>
              <w:top w:val="nil"/>
              <w:left w:val="single" w:sz="12" w:space="0" w:color="FFFFFF"/>
              <w:bottom w:val="nil"/>
              <w:right w:val="single" w:sz="12" w:space="0" w:color="FFFFFF"/>
            </w:tcBorders>
            <w:shd w:val="clear" w:color="auto" w:fill="F9D8D4"/>
          </w:tcPr>
          <w:p>
            <w:pPr>
              <w:pStyle w:val="TableParagraph"/>
              <w:spacing w:before="72"/>
              <w:ind w:left="166"/>
              <w:rPr>
                <w:sz w:val="17"/>
              </w:rPr>
            </w:pPr>
            <w:r>
              <w:rPr>
                <w:color w:val="58595B"/>
                <w:sz w:val="17"/>
              </w:rPr>
              <w:t>Salaires</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370"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nil"/>
              <w:right w:val="single" w:sz="12" w:space="0" w:color="FFFFFF"/>
            </w:tcBorders>
            <w:shd w:val="clear" w:color="auto" w:fill="F9D8D4"/>
          </w:tcPr>
          <w:p>
            <w:pPr>
              <w:pStyle w:val="TableParagraph"/>
              <w:spacing w:line="190" w:lineRule="exact"/>
              <w:ind w:left="166"/>
              <w:rPr>
                <w:sz w:val="17"/>
              </w:rPr>
            </w:pPr>
            <w:r>
              <w:rPr>
                <w:color w:val="58595B"/>
                <w:sz w:val="17"/>
              </w:rPr>
              <w:t>dépenses)</w:t>
            </w:r>
          </w:p>
        </w:tc>
        <w:tc>
          <w:tcPr>
            <w:tcW w:w="3402" w:type="dxa"/>
            <w:tcBorders>
              <w:top w:val="nil"/>
              <w:left w:val="single" w:sz="12" w:space="0" w:color="FFFFFF"/>
              <w:bottom w:val="nil"/>
              <w:right w:val="single" w:sz="12" w:space="0" w:color="FFFFFF"/>
            </w:tcBorders>
            <w:shd w:val="clear" w:color="auto" w:fill="F9D8D4"/>
          </w:tcPr>
          <w:p>
            <w:pPr>
              <w:pStyle w:val="TableParagraph"/>
              <w:spacing w:before="2"/>
              <w:rPr>
                <w:sz w:val="15"/>
              </w:rPr>
            </w:pPr>
          </w:p>
          <w:p>
            <w:pPr>
              <w:pStyle w:val="TableParagraph"/>
              <w:spacing w:line="176" w:lineRule="exact"/>
              <w:ind w:left="897"/>
              <w:rPr>
                <w:sz w:val="17"/>
              </w:rPr>
            </w:pPr>
            <w:r>
              <w:rPr>
                <w:color w:val="58595B"/>
                <w:sz w:val="17"/>
              </w:rPr>
              <w:t>Nombre d’enseignants</w:t>
            </w:r>
          </w:p>
        </w:tc>
        <w:tc>
          <w:tcPr>
            <w:tcW w:w="2003" w:type="dxa"/>
            <w:tcBorders>
              <w:top w:val="nil"/>
              <w:left w:val="single" w:sz="12" w:space="0" w:color="FFFFFF"/>
              <w:bottom w:val="nil"/>
              <w:right w:val="single" w:sz="12" w:space="0" w:color="FFFFFF"/>
            </w:tcBorders>
            <w:shd w:val="clear" w:color="auto" w:fill="F9D8D4"/>
          </w:tcPr>
          <w:p>
            <w:pPr>
              <w:pStyle w:val="TableParagraph"/>
              <w:spacing w:before="82"/>
              <w:ind w:left="166"/>
              <w:rPr>
                <w:sz w:val="17"/>
              </w:rPr>
            </w:pPr>
            <w:r>
              <w:rPr>
                <w:color w:val="58595B"/>
                <w:sz w:val="17"/>
              </w:rPr>
              <w:t>SIGE</w:t>
            </w: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r>
        <w:trPr>
          <w:trHeight w:val="1881" w:hRule="atLeast"/>
        </w:trPr>
        <w:tc>
          <w:tcPr>
            <w:tcW w:w="1923"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39"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3402" w:type="dxa"/>
            <w:tcBorders>
              <w:top w:val="nil"/>
              <w:left w:val="single" w:sz="12" w:space="0" w:color="FFFFFF"/>
              <w:bottom w:val="single" w:sz="12" w:space="0" w:color="FFFFFF"/>
              <w:right w:val="single" w:sz="12" w:space="0" w:color="FFFFFF"/>
            </w:tcBorders>
            <w:shd w:val="clear" w:color="auto" w:fill="F9D8D4"/>
          </w:tcPr>
          <w:p>
            <w:pPr>
              <w:pStyle w:val="TableParagraph"/>
              <w:spacing w:line="190" w:lineRule="exact"/>
              <w:ind w:left="502"/>
              <w:rPr>
                <w:sz w:val="17"/>
              </w:rPr>
            </w:pPr>
            <w:r>
              <w:rPr>
                <w:color w:val="58595B"/>
                <w:sz w:val="17"/>
              </w:rPr>
              <w:t>(occupant un poste d’enseignant)</w:t>
            </w:r>
          </w:p>
        </w:tc>
        <w:tc>
          <w:tcPr>
            <w:tcW w:w="2003" w:type="dxa"/>
            <w:tcBorders>
              <w:top w:val="nil"/>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88"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bl>
    <w:p>
      <w:pPr>
        <w:spacing w:after="0"/>
        <w:rPr>
          <w:sz w:val="2"/>
          <w:szCs w:val="2"/>
        </w:rPr>
        <w:sectPr>
          <w:pgSz w:w="15840" w:h="12240" w:orient="landscape"/>
          <w:pgMar w:header="314" w:footer="0" w:top="660" w:bottom="0" w:left="600" w:right="340"/>
        </w:sectPr>
      </w:pPr>
    </w:p>
    <w:p>
      <w:pPr>
        <w:pStyle w:val="BodyText"/>
        <w:spacing w:before="10"/>
        <w:rPr>
          <w:rFonts w:ascii="Times New Roman"/>
          <w:sz w:val="8"/>
        </w:rPr>
      </w:pPr>
      <w:r>
        <w:rPr/>
        <w:pict>
          <v:line style="position:absolute;mso-position-horizontal-relative:page;mso-position-vertical-relative:page;z-index:-44776" from="237.209793pt,344.875397pt" to="382.193793pt,344.875397pt" stroked="true" strokeweight=".25pt" strokecolor="#58595b">
            <v:stroke dashstyle="solid"/>
            <w10:wrap type="none"/>
          </v:line>
        </w:pict>
      </w:r>
    </w:p>
    <w:tbl>
      <w:tblPr>
        <w:tblW w:w="0" w:type="auto"/>
        <w:jc w:val="left"/>
        <w:tblInd w:w="149"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14"/>
        <w:gridCol w:w="1854"/>
        <w:gridCol w:w="3402"/>
        <w:gridCol w:w="1991"/>
        <w:gridCol w:w="5194"/>
      </w:tblGrid>
      <w:tr>
        <w:trPr>
          <w:trHeight w:val="491" w:hRule="atLeast"/>
        </w:trPr>
        <w:tc>
          <w:tcPr>
            <w:tcW w:w="1914" w:type="dxa"/>
            <w:tcBorders>
              <w:left w:val="nil"/>
              <w:right w:val="nil"/>
            </w:tcBorders>
          </w:tcPr>
          <w:p>
            <w:pPr>
              <w:pStyle w:val="TableParagraph"/>
              <w:spacing w:before="142"/>
              <w:ind w:left="543"/>
              <w:rPr>
                <w:b/>
                <w:sz w:val="18"/>
              </w:rPr>
            </w:pPr>
            <w:r>
              <w:rPr>
                <w:b/>
                <w:color w:val="58595B"/>
                <w:sz w:val="18"/>
              </w:rPr>
              <w:t>Indicateur</w:t>
            </w:r>
          </w:p>
        </w:tc>
        <w:tc>
          <w:tcPr>
            <w:tcW w:w="1854" w:type="dxa"/>
            <w:tcBorders>
              <w:left w:val="nil"/>
              <w:right w:val="nil"/>
            </w:tcBorders>
          </w:tcPr>
          <w:p>
            <w:pPr>
              <w:pStyle w:val="TableParagraph"/>
              <w:spacing w:before="142"/>
              <w:ind w:left="539"/>
              <w:rPr>
                <w:b/>
                <w:sz w:val="18"/>
              </w:rPr>
            </w:pPr>
            <w:r>
              <w:rPr>
                <w:b/>
                <w:color w:val="58595B"/>
                <w:sz w:val="18"/>
              </w:rPr>
              <w:t>Variantes</w:t>
            </w:r>
          </w:p>
        </w:tc>
        <w:tc>
          <w:tcPr>
            <w:tcW w:w="3402" w:type="dxa"/>
            <w:tcBorders>
              <w:left w:val="nil"/>
              <w:right w:val="nil"/>
            </w:tcBorders>
          </w:tcPr>
          <w:p>
            <w:pPr>
              <w:pStyle w:val="TableParagraph"/>
              <w:spacing w:before="142"/>
              <w:ind w:left="1265" w:right="1255"/>
              <w:jc w:val="center"/>
              <w:rPr>
                <w:b/>
                <w:sz w:val="18"/>
              </w:rPr>
            </w:pPr>
            <w:r>
              <w:rPr>
                <w:b/>
                <w:color w:val="58595B"/>
                <w:sz w:val="18"/>
              </w:rPr>
              <w:t>Définition</w:t>
            </w:r>
          </w:p>
        </w:tc>
        <w:tc>
          <w:tcPr>
            <w:tcW w:w="1991" w:type="dxa"/>
            <w:tcBorders>
              <w:left w:val="nil"/>
              <w:right w:val="nil"/>
            </w:tcBorders>
          </w:tcPr>
          <w:p>
            <w:pPr>
              <w:pStyle w:val="TableParagraph"/>
              <w:spacing w:line="232" w:lineRule="auto" w:before="47"/>
              <w:ind w:left="51" w:right="9" w:firstLine="409"/>
              <w:rPr>
                <w:b/>
                <w:sz w:val="18"/>
              </w:rPr>
            </w:pPr>
            <w:r>
              <w:rPr>
                <w:b/>
                <w:color w:val="58595B"/>
                <w:sz w:val="18"/>
              </w:rPr>
              <w:t>Source(s) de données potentielle(s)</w:t>
            </w:r>
          </w:p>
        </w:tc>
        <w:tc>
          <w:tcPr>
            <w:tcW w:w="5194" w:type="dxa"/>
            <w:tcBorders>
              <w:left w:val="nil"/>
              <w:right w:val="nil"/>
            </w:tcBorders>
          </w:tcPr>
          <w:p>
            <w:pPr>
              <w:pStyle w:val="TableParagraph"/>
              <w:spacing w:before="142"/>
              <w:ind w:left="2014" w:right="1988"/>
              <w:jc w:val="center"/>
              <w:rPr>
                <w:b/>
                <w:sz w:val="18"/>
              </w:rPr>
            </w:pPr>
            <w:r>
              <w:rPr>
                <w:b/>
                <w:color w:val="58595B"/>
                <w:sz w:val="18"/>
              </w:rPr>
              <w:t>Observations</w:t>
            </w:r>
          </w:p>
        </w:tc>
      </w:tr>
      <w:tr>
        <w:trPr>
          <w:trHeight w:val="1155" w:hRule="atLeast"/>
        </w:trPr>
        <w:tc>
          <w:tcPr>
            <w:tcW w:w="1914"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854"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spacing w:before="154"/>
              <w:ind w:left="175"/>
              <w:rPr>
                <w:sz w:val="17"/>
              </w:rPr>
            </w:pPr>
            <w:r>
              <w:rPr>
                <w:color w:val="58595B"/>
                <w:sz w:val="17"/>
              </w:rPr>
              <w:t>En multiple</w:t>
            </w:r>
          </w:p>
          <w:p>
            <w:pPr>
              <w:pStyle w:val="TableParagraph"/>
              <w:spacing w:before="44"/>
              <w:ind w:left="175"/>
              <w:rPr>
                <w:sz w:val="17"/>
              </w:rPr>
            </w:pPr>
            <w:r>
              <w:rPr>
                <w:color w:val="58595B"/>
                <w:sz w:val="17"/>
              </w:rPr>
              <w:t>du PIB par habitant</w:t>
            </w:r>
          </w:p>
        </w:tc>
        <w:tc>
          <w:tcPr>
            <w:tcW w:w="3402"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991"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94" w:type="dxa"/>
            <w:tcBorders>
              <w:left w:val="single" w:sz="12" w:space="0" w:color="FFFFFF"/>
              <w:bottom w:val="single" w:sz="12" w:space="0" w:color="FFFFFF"/>
              <w:right w:val="single" w:sz="12" w:space="0" w:color="FFFFFF"/>
            </w:tcBorders>
            <w:shd w:val="clear" w:color="auto" w:fill="FEEDD2"/>
          </w:tcPr>
          <w:p>
            <w:pPr>
              <w:pStyle w:val="TableParagraph"/>
              <w:spacing w:line="295" w:lineRule="auto" w:before="121"/>
              <w:ind w:left="171" w:right="200"/>
              <w:rPr>
                <w:sz w:val="17"/>
              </w:rPr>
            </w:pPr>
            <w:r>
              <w:rPr>
                <w:color w:val="58595B"/>
                <w:sz w:val="17"/>
              </w:rPr>
              <w:t>Le salaire moyen (annuel) des enseignants exprimé en multiple du PIB par habitant permet d’effectuer des comparaisons internationales indicatives et renseigne sur le niveau de richesse relatif des enseignants dans leur pays respectif.</w:t>
            </w:r>
          </w:p>
        </w:tc>
      </w:tr>
      <w:tr>
        <w:trPr>
          <w:trHeight w:val="3030" w:hRule="atLeast"/>
        </w:trPr>
        <w:tc>
          <w:tcPr>
            <w:tcW w:w="191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854"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19"/>
              </w:rPr>
            </w:pPr>
          </w:p>
          <w:p>
            <w:pPr>
              <w:pStyle w:val="TableParagraph"/>
              <w:spacing w:line="295" w:lineRule="auto"/>
              <w:ind w:left="175" w:right="154"/>
              <w:rPr>
                <w:sz w:val="17"/>
              </w:rPr>
            </w:pPr>
            <w:r>
              <w:rPr>
                <w:color w:val="58595B"/>
                <w:sz w:val="17"/>
              </w:rPr>
              <w:t>Par statut/catégorie d’enseignant/</w:t>
            </w:r>
          </w:p>
          <w:p>
            <w:pPr>
              <w:pStyle w:val="TableParagraph"/>
              <w:spacing w:line="295" w:lineRule="auto"/>
              <w:ind w:left="175" w:right="324"/>
              <w:rPr>
                <w:sz w:val="17"/>
              </w:rPr>
            </w:pPr>
            <w:r>
              <w:rPr>
                <w:color w:val="58595B"/>
                <w:sz w:val="17"/>
              </w:rPr>
              <w:t>type d’éducateur/ service d’EPE</w:t>
            </w:r>
          </w:p>
        </w:tc>
        <w:tc>
          <w:tcPr>
            <w:tcW w:w="340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1991"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5194"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10"/>
              <w:rPr>
                <w:rFonts w:ascii="Times New Roman"/>
                <w:sz w:val="18"/>
              </w:rPr>
            </w:pPr>
          </w:p>
          <w:p>
            <w:pPr>
              <w:pStyle w:val="TableParagraph"/>
              <w:spacing w:before="1"/>
              <w:ind w:left="171"/>
              <w:rPr>
                <w:sz w:val="17"/>
              </w:rPr>
            </w:pPr>
            <w:r>
              <w:rPr>
                <w:color w:val="58595B"/>
                <w:sz w:val="17"/>
              </w:rPr>
              <w:t>Il est primordial de décrire le salaire des enseignants par type :</w:t>
            </w:r>
          </w:p>
          <w:p>
            <w:pPr>
              <w:pStyle w:val="TableParagraph"/>
              <w:numPr>
                <w:ilvl w:val="0"/>
                <w:numId w:val="1"/>
              </w:numPr>
              <w:tabs>
                <w:tab w:pos="451" w:val="left" w:leader="none"/>
                <w:tab w:pos="452" w:val="left" w:leader="none"/>
              </w:tabs>
              <w:spacing w:line="240" w:lineRule="auto" w:before="44" w:after="0"/>
              <w:ind w:left="451" w:right="0" w:hanging="280"/>
              <w:jc w:val="left"/>
              <w:rPr>
                <w:sz w:val="17"/>
              </w:rPr>
            </w:pPr>
            <w:r>
              <w:rPr>
                <w:color w:val="58595B"/>
                <w:sz w:val="17"/>
              </w:rPr>
              <w:t>Enseignants fonctionnaires</w:t>
            </w:r>
          </w:p>
          <w:p>
            <w:pPr>
              <w:pStyle w:val="TableParagraph"/>
              <w:numPr>
                <w:ilvl w:val="0"/>
                <w:numId w:val="1"/>
              </w:numPr>
              <w:tabs>
                <w:tab w:pos="451" w:val="left" w:leader="none"/>
                <w:tab w:pos="452" w:val="left" w:leader="none"/>
              </w:tabs>
              <w:spacing w:line="240" w:lineRule="auto" w:before="45" w:after="0"/>
              <w:ind w:left="451" w:right="0" w:hanging="280"/>
              <w:jc w:val="left"/>
              <w:rPr>
                <w:sz w:val="17"/>
              </w:rPr>
            </w:pPr>
            <w:r>
              <w:rPr>
                <w:color w:val="58595B"/>
                <w:sz w:val="17"/>
              </w:rPr>
              <w:t>Enseignants contractuels</w:t>
            </w:r>
          </w:p>
          <w:p>
            <w:pPr>
              <w:pStyle w:val="TableParagraph"/>
              <w:numPr>
                <w:ilvl w:val="0"/>
                <w:numId w:val="1"/>
              </w:numPr>
              <w:tabs>
                <w:tab w:pos="451" w:val="left" w:leader="none"/>
                <w:tab w:pos="452" w:val="left" w:leader="none"/>
              </w:tabs>
              <w:spacing w:line="240" w:lineRule="auto" w:before="44" w:after="0"/>
              <w:ind w:left="451" w:right="0" w:hanging="280"/>
              <w:jc w:val="left"/>
              <w:rPr>
                <w:sz w:val="17"/>
              </w:rPr>
            </w:pPr>
            <w:r>
              <w:rPr>
                <w:color w:val="58595B"/>
                <w:sz w:val="17"/>
              </w:rPr>
              <w:t>Enseignants communautaires</w:t>
            </w:r>
          </w:p>
          <w:p>
            <w:pPr>
              <w:pStyle w:val="TableParagraph"/>
              <w:numPr>
                <w:ilvl w:val="0"/>
                <w:numId w:val="1"/>
              </w:numPr>
              <w:tabs>
                <w:tab w:pos="451" w:val="left" w:leader="none"/>
                <w:tab w:pos="452" w:val="left" w:leader="none"/>
              </w:tabs>
              <w:spacing w:line="240" w:lineRule="auto" w:before="45" w:after="0"/>
              <w:ind w:left="451" w:right="0" w:hanging="280"/>
              <w:jc w:val="left"/>
              <w:rPr>
                <w:sz w:val="17"/>
              </w:rPr>
            </w:pPr>
            <w:r>
              <w:rPr>
                <w:color w:val="58595B"/>
                <w:sz w:val="17"/>
              </w:rPr>
              <w:t>Enseignants</w:t>
            </w:r>
            <w:r>
              <w:rPr>
                <w:color w:val="58595B"/>
                <w:spacing w:val="-9"/>
                <w:sz w:val="17"/>
              </w:rPr>
              <w:t> </w:t>
            </w:r>
            <w:r>
              <w:rPr>
                <w:color w:val="58595B"/>
                <w:sz w:val="17"/>
              </w:rPr>
              <w:t>bénévoles</w:t>
            </w:r>
          </w:p>
          <w:p>
            <w:pPr>
              <w:pStyle w:val="TableParagraph"/>
              <w:numPr>
                <w:ilvl w:val="0"/>
                <w:numId w:val="1"/>
              </w:numPr>
              <w:tabs>
                <w:tab w:pos="451" w:val="left" w:leader="none"/>
                <w:tab w:pos="452" w:val="left" w:leader="none"/>
              </w:tabs>
              <w:spacing w:line="240" w:lineRule="auto" w:before="44" w:after="0"/>
              <w:ind w:left="451" w:right="0" w:hanging="280"/>
              <w:jc w:val="left"/>
              <w:rPr>
                <w:sz w:val="17"/>
              </w:rPr>
            </w:pPr>
            <w:r>
              <w:rPr>
                <w:color w:val="58595B"/>
                <w:sz w:val="17"/>
              </w:rPr>
              <w:t>Enseignants stagiaires</w:t>
            </w:r>
          </w:p>
          <w:p>
            <w:pPr>
              <w:pStyle w:val="TableParagraph"/>
              <w:numPr>
                <w:ilvl w:val="0"/>
                <w:numId w:val="1"/>
              </w:numPr>
              <w:tabs>
                <w:tab w:pos="451" w:val="left" w:leader="none"/>
                <w:tab w:pos="452" w:val="left" w:leader="none"/>
              </w:tabs>
              <w:spacing w:line="240" w:lineRule="auto" w:before="45" w:after="0"/>
              <w:ind w:left="451" w:right="0" w:hanging="280"/>
              <w:jc w:val="left"/>
              <w:rPr>
                <w:sz w:val="17"/>
              </w:rPr>
            </w:pPr>
            <w:r>
              <w:rPr>
                <w:color w:val="58595B"/>
                <w:sz w:val="17"/>
              </w:rPr>
              <w:t>Enseignants réfugiés ou</w:t>
            </w:r>
            <w:r>
              <w:rPr>
                <w:color w:val="58595B"/>
                <w:spacing w:val="-2"/>
                <w:sz w:val="17"/>
              </w:rPr>
              <w:t> </w:t>
            </w:r>
            <w:r>
              <w:rPr>
                <w:color w:val="58595B"/>
                <w:sz w:val="17"/>
              </w:rPr>
              <w:t>bénévoles</w:t>
            </w:r>
          </w:p>
          <w:p>
            <w:pPr>
              <w:pStyle w:val="TableParagraph"/>
              <w:spacing w:line="295" w:lineRule="auto" w:before="44"/>
              <w:ind w:left="171" w:right="147"/>
              <w:rPr>
                <w:sz w:val="17"/>
              </w:rPr>
            </w:pPr>
            <w:r>
              <w:rPr>
                <w:color w:val="58595B"/>
                <w:sz w:val="17"/>
              </w:rPr>
              <w:t>En </w:t>
            </w:r>
            <w:r>
              <w:rPr>
                <w:color w:val="58595B"/>
                <w:spacing w:val="-4"/>
                <w:sz w:val="17"/>
              </w:rPr>
              <w:t>effet, </w:t>
            </w:r>
            <w:r>
              <w:rPr>
                <w:color w:val="58595B"/>
                <w:sz w:val="17"/>
              </w:rPr>
              <w:t>la </w:t>
            </w:r>
            <w:r>
              <w:rPr>
                <w:color w:val="58595B"/>
                <w:spacing w:val="-4"/>
                <w:sz w:val="17"/>
              </w:rPr>
              <w:t>rémunération </w:t>
            </w:r>
            <w:r>
              <w:rPr>
                <w:color w:val="58595B"/>
                <w:sz w:val="17"/>
              </w:rPr>
              <w:t>de </w:t>
            </w:r>
            <w:r>
              <w:rPr>
                <w:color w:val="58595B"/>
                <w:spacing w:val="-3"/>
                <w:sz w:val="17"/>
              </w:rPr>
              <w:t>ces </w:t>
            </w:r>
            <w:r>
              <w:rPr>
                <w:color w:val="58595B"/>
                <w:spacing w:val="-4"/>
                <w:sz w:val="17"/>
              </w:rPr>
              <w:t>différents types d’enseignants est souvent </w:t>
            </w:r>
            <w:r>
              <w:rPr>
                <w:color w:val="58595B"/>
                <w:spacing w:val="-3"/>
                <w:sz w:val="17"/>
              </w:rPr>
              <w:t>très </w:t>
            </w:r>
            <w:r>
              <w:rPr>
                <w:color w:val="58595B"/>
                <w:spacing w:val="-4"/>
                <w:sz w:val="17"/>
              </w:rPr>
              <w:t>variable. </w:t>
            </w:r>
            <w:r>
              <w:rPr>
                <w:color w:val="58595B"/>
                <w:sz w:val="17"/>
              </w:rPr>
              <w:t>De </w:t>
            </w:r>
            <w:r>
              <w:rPr>
                <w:color w:val="58595B"/>
                <w:spacing w:val="-4"/>
                <w:sz w:val="17"/>
              </w:rPr>
              <w:t>plus, </w:t>
            </w:r>
            <w:r>
              <w:rPr>
                <w:color w:val="58595B"/>
                <w:spacing w:val="-3"/>
                <w:sz w:val="17"/>
              </w:rPr>
              <w:t>les </w:t>
            </w:r>
            <w:r>
              <w:rPr>
                <w:color w:val="58595B"/>
                <w:spacing w:val="-4"/>
                <w:sz w:val="17"/>
              </w:rPr>
              <w:t>ratios élèves/enseignant </w:t>
            </w:r>
            <w:r>
              <w:rPr>
                <w:color w:val="58595B"/>
                <w:spacing w:val="-5"/>
                <w:sz w:val="17"/>
              </w:rPr>
              <w:t>diffèrent </w:t>
            </w:r>
            <w:r>
              <w:rPr>
                <w:color w:val="58595B"/>
                <w:spacing w:val="-4"/>
                <w:sz w:val="17"/>
              </w:rPr>
              <w:t>selon </w:t>
            </w:r>
            <w:r>
              <w:rPr>
                <w:color w:val="58595B"/>
                <w:sz w:val="17"/>
              </w:rPr>
              <w:t>le </w:t>
            </w:r>
            <w:r>
              <w:rPr>
                <w:color w:val="58595B"/>
                <w:spacing w:val="-3"/>
                <w:sz w:val="17"/>
              </w:rPr>
              <w:t>type </w:t>
            </w:r>
            <w:r>
              <w:rPr>
                <w:color w:val="58595B"/>
                <w:spacing w:val="-4"/>
                <w:sz w:val="17"/>
              </w:rPr>
              <w:t>d’éducateur </w:t>
            </w:r>
            <w:r>
              <w:rPr>
                <w:color w:val="58595B"/>
                <w:spacing w:val="-3"/>
                <w:sz w:val="17"/>
              </w:rPr>
              <w:t>(par </w:t>
            </w:r>
            <w:r>
              <w:rPr>
                <w:color w:val="58595B"/>
                <w:spacing w:val="-4"/>
                <w:sz w:val="17"/>
              </w:rPr>
              <w:t>exemple, enseignants </w:t>
            </w:r>
            <w:r>
              <w:rPr>
                <w:color w:val="58595B"/>
                <w:sz w:val="17"/>
              </w:rPr>
              <w:t>et </w:t>
            </w:r>
            <w:r>
              <w:rPr>
                <w:color w:val="58595B"/>
                <w:spacing w:val="-4"/>
                <w:sz w:val="17"/>
              </w:rPr>
              <w:t>assistants) (voir ci-dessous).</w:t>
            </w:r>
          </w:p>
        </w:tc>
      </w:tr>
      <w:tr>
        <w:trPr>
          <w:trHeight w:val="115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33550" cy="133350"/>
                  <wp:effectExtent l="0" t="0" r="0" b="0"/>
                  <wp:docPr id="33" name="image17.png" descr=""/>
                  <wp:cNvGraphicFramePr>
                    <a:graphicFrameLocks noChangeAspect="1"/>
                  </wp:cNvGraphicFramePr>
                  <a:graphic>
                    <a:graphicData uri="http://schemas.openxmlformats.org/drawingml/2006/picture">
                      <pic:pic>
                        <pic:nvPicPr>
                          <pic:cNvPr id="34" name="image17.png"/>
                          <pic:cNvPicPr/>
                        </pic:nvPicPr>
                        <pic:blipFill>
                          <a:blip r:embed="rId27" cstate="print"/>
                          <a:stretch>
                            <a:fillRect/>
                          </a:stretch>
                        </pic:blipFill>
                        <pic:spPr>
                          <a:xfrm>
                            <a:off x="0" y="0"/>
                            <a:ext cx="933550"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596"/>
              <w:rPr>
                <w:b/>
                <w:sz w:val="18"/>
              </w:rPr>
            </w:pPr>
            <w:r>
              <w:rPr>
                <w:b/>
                <w:color w:val="58595B"/>
                <w:sz w:val="18"/>
              </w:rPr>
              <w:t>Ratio élèves/ enseignant</w:t>
            </w:r>
          </w:p>
        </w:tc>
        <w:tc>
          <w:tcPr>
            <w:tcW w:w="185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spacing w:before="7"/>
              <w:rPr>
                <w:rFonts w:ascii="Times New Roman"/>
                <w:sz w:val="23"/>
              </w:rPr>
            </w:pPr>
          </w:p>
          <w:p>
            <w:pPr>
              <w:pStyle w:val="TableParagraph"/>
              <w:spacing w:before="1"/>
              <w:ind w:left="175"/>
              <w:rPr>
                <w:sz w:val="17"/>
              </w:rPr>
            </w:pPr>
            <w:r>
              <w:rPr>
                <w:color w:val="58595B"/>
                <w:sz w:val="17"/>
              </w:rPr>
              <w:t>Globalement</w:t>
            </w:r>
          </w:p>
        </w:tc>
        <w:tc>
          <w:tcPr>
            <w:tcW w:w="3402"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590" w:lineRule="auto" w:before="153"/>
              <w:ind w:left="401" w:right="371" w:firstLine="283"/>
              <w:rPr>
                <w:sz w:val="17"/>
              </w:rPr>
            </w:pPr>
            <w:r>
              <w:rPr>
                <w:color w:val="58595B"/>
                <w:sz w:val="17"/>
              </w:rPr>
              <w:t>Nombre d’élèves dans l’EPE Nombre d’enseignants dans l’EPE</w:t>
            </w:r>
          </w:p>
        </w:tc>
        <w:tc>
          <w:tcPr>
            <w:tcW w:w="1991"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16"/>
              </w:rPr>
            </w:pPr>
          </w:p>
          <w:p>
            <w:pPr>
              <w:pStyle w:val="TableParagraph"/>
              <w:ind w:left="159"/>
              <w:rPr>
                <w:sz w:val="17"/>
              </w:rPr>
            </w:pPr>
            <w:r>
              <w:rPr>
                <w:color w:val="58595B"/>
                <w:sz w:val="17"/>
              </w:rPr>
              <w:t>SIGE</w:t>
            </w:r>
          </w:p>
        </w:tc>
        <w:tc>
          <w:tcPr>
            <w:tcW w:w="519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171" w:right="200"/>
              <w:rPr>
                <w:sz w:val="17"/>
              </w:rPr>
            </w:pPr>
            <w:r>
              <w:rPr>
                <w:color w:val="58595B"/>
                <w:sz w:val="17"/>
              </w:rPr>
              <w:t>Le nombre d’élèves par enseignant (ou par éducateur, comme les assistants ou auxiliaires scolaires, selon le terme utilisé localement) est un déterminant direct de la masse salariale totale.</w:t>
            </w:r>
          </w:p>
        </w:tc>
      </w:tr>
      <w:tr>
        <w:trPr>
          <w:trHeight w:val="1454" w:hRule="atLeast"/>
        </w:trPr>
        <w:tc>
          <w:tcPr>
            <w:tcW w:w="1914"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5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49"/>
              <w:ind w:left="175" w:right="646"/>
              <w:rPr>
                <w:sz w:val="17"/>
              </w:rPr>
            </w:pPr>
            <w:r>
              <w:rPr>
                <w:color w:val="58595B"/>
                <w:sz w:val="17"/>
              </w:rPr>
              <w:t>Par type d’éducateur Par mode de prestation de services</w:t>
            </w:r>
          </w:p>
        </w:tc>
        <w:tc>
          <w:tcPr>
            <w:tcW w:w="3402"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99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519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23"/>
              </w:rPr>
            </w:pPr>
          </w:p>
          <w:p>
            <w:pPr>
              <w:pStyle w:val="TableParagraph"/>
              <w:spacing w:line="283" w:lineRule="auto"/>
              <w:ind w:left="171" w:right="357"/>
              <w:rPr>
                <w:sz w:val="17"/>
              </w:rPr>
            </w:pPr>
            <w:r>
              <w:rPr>
                <w:color w:val="58595B"/>
                <w:sz w:val="17"/>
              </w:rPr>
              <w:t>Lorsque</w:t>
            </w:r>
            <w:r>
              <w:rPr>
                <w:color w:val="58595B"/>
                <w:spacing w:val="-7"/>
                <w:sz w:val="17"/>
              </w:rPr>
              <w:t> </w:t>
            </w:r>
            <w:r>
              <w:rPr>
                <w:color w:val="58595B"/>
                <w:sz w:val="17"/>
              </w:rPr>
              <w:t>plusieurs</w:t>
            </w:r>
            <w:r>
              <w:rPr>
                <w:color w:val="58595B"/>
                <w:spacing w:val="-7"/>
                <w:sz w:val="17"/>
              </w:rPr>
              <w:t> </w:t>
            </w:r>
            <w:r>
              <w:rPr>
                <w:color w:val="58595B"/>
                <w:sz w:val="17"/>
              </w:rPr>
              <w:t>types</w:t>
            </w:r>
            <w:r>
              <w:rPr>
                <w:color w:val="58595B"/>
                <w:spacing w:val="-6"/>
                <w:sz w:val="17"/>
              </w:rPr>
              <w:t> </w:t>
            </w:r>
            <w:r>
              <w:rPr>
                <w:color w:val="58595B"/>
                <w:sz w:val="17"/>
              </w:rPr>
              <w:t>d’éducateurs</w:t>
            </w:r>
            <w:r>
              <w:rPr>
                <w:color w:val="58595B"/>
                <w:spacing w:val="-7"/>
                <w:sz w:val="17"/>
              </w:rPr>
              <w:t> </w:t>
            </w:r>
            <w:r>
              <w:rPr>
                <w:color w:val="58595B"/>
                <w:sz w:val="17"/>
              </w:rPr>
              <w:t>peuvent</w:t>
            </w:r>
            <w:r>
              <w:rPr>
                <w:color w:val="58595B"/>
                <w:spacing w:val="-7"/>
                <w:sz w:val="17"/>
              </w:rPr>
              <w:t> </w:t>
            </w:r>
            <w:r>
              <w:rPr>
                <w:color w:val="58595B"/>
                <w:sz w:val="17"/>
              </w:rPr>
              <w:t>être</w:t>
            </w:r>
            <w:r>
              <w:rPr>
                <w:color w:val="58595B"/>
                <w:spacing w:val="-7"/>
                <w:sz w:val="17"/>
              </w:rPr>
              <w:t> </w:t>
            </w:r>
            <w:r>
              <w:rPr>
                <w:color w:val="58595B"/>
                <w:sz w:val="17"/>
              </w:rPr>
              <w:t>présents en classe (par exemple, un enseignant fonctionnaire et un </w:t>
            </w:r>
            <w:r>
              <w:rPr>
                <w:color w:val="58595B"/>
                <w:spacing w:val="-1"/>
                <w:sz w:val="17"/>
              </w:rPr>
              <w:t>assistant), </w:t>
            </w:r>
            <w:r>
              <w:rPr>
                <w:color w:val="58595B"/>
                <w:position w:val="-3"/>
                <w:sz w:val="17"/>
              </w:rPr>
              <w:drawing>
                <wp:inline distT="0" distB="0" distL="0" distR="0">
                  <wp:extent cx="647598" cy="138963"/>
                  <wp:effectExtent l="0" t="0" r="0" b="0"/>
                  <wp:docPr id="35" name="image18.png" descr=""/>
                  <wp:cNvGraphicFramePr>
                    <a:graphicFrameLocks noChangeAspect="1"/>
                  </wp:cNvGraphicFramePr>
                  <a:graphic>
                    <a:graphicData uri="http://schemas.openxmlformats.org/drawingml/2006/picture">
                      <pic:pic>
                        <pic:nvPicPr>
                          <pic:cNvPr id="36" name="image18.png"/>
                          <pic:cNvPicPr/>
                        </pic:nvPicPr>
                        <pic:blipFill>
                          <a:blip r:embed="rId28" cstate="print"/>
                          <a:stretch>
                            <a:fillRect/>
                          </a:stretch>
                        </pic:blipFill>
                        <pic:spPr>
                          <a:xfrm>
                            <a:off x="0" y="0"/>
                            <a:ext cx="647598" cy="138963"/>
                          </a:xfrm>
                          <a:prstGeom prst="rect">
                            <a:avLst/>
                          </a:prstGeom>
                        </pic:spPr>
                      </pic:pic>
                    </a:graphicData>
                  </a:graphic>
                </wp:inline>
              </w:drawing>
            </w:r>
            <w:r>
              <w:rPr>
                <w:color w:val="58595B"/>
                <w:position w:val="-3"/>
                <w:sz w:val="17"/>
              </w:rPr>
            </w:r>
            <w:r>
              <w:rPr>
                <w:rFonts w:ascii="Times New Roman" w:hAnsi="Times New Roman"/>
                <w:color w:val="58595B"/>
                <w:spacing w:val="4"/>
                <w:sz w:val="17"/>
              </w:rPr>
              <w:t> </w:t>
            </w:r>
            <w:r>
              <w:rPr>
                <w:color w:val="58595B"/>
                <w:sz w:val="17"/>
              </w:rPr>
              <w:t>il est important de calculer cet indicateur et d’en faire une</w:t>
            </w:r>
            <w:r>
              <w:rPr>
                <w:color w:val="58595B"/>
                <w:spacing w:val="-8"/>
                <w:sz w:val="17"/>
              </w:rPr>
              <w:t> </w:t>
            </w:r>
            <w:r>
              <w:rPr>
                <w:color w:val="58595B"/>
                <w:sz w:val="17"/>
              </w:rPr>
              <w:t>projection.</w:t>
            </w:r>
          </w:p>
        </w:tc>
      </w:tr>
      <w:tr>
        <w:trPr>
          <w:trHeight w:val="681" w:hRule="atLeast"/>
        </w:trPr>
        <w:tc>
          <w:tcPr>
            <w:tcW w:w="14355"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ight="451"/>
              <w:rPr>
                <w:sz w:val="18"/>
              </w:rPr>
            </w:pPr>
            <w:r>
              <w:rPr>
                <w:b/>
                <w:color w:val="58595B"/>
                <w:sz w:val="18"/>
              </w:rPr>
              <w:t>Infrastructures. </w:t>
            </w:r>
            <w:r>
              <w:rPr>
                <w:color w:val="58595B"/>
                <w:sz w:val="18"/>
              </w:rPr>
              <w:t>Si des politiques visant à développer l’EPE sont mises en œuvre, les infrastructures constituent souvent le deuxième facteur de coût (après la formation, le recrutement et la rémunération des enseignants).</w:t>
            </w:r>
          </w:p>
        </w:tc>
      </w:tr>
      <w:tr>
        <w:trPr>
          <w:trHeight w:val="115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33550" cy="133350"/>
                  <wp:effectExtent l="0" t="0" r="0" b="0"/>
                  <wp:docPr id="37" name="image19.png" descr=""/>
                  <wp:cNvGraphicFramePr>
                    <a:graphicFrameLocks noChangeAspect="1"/>
                  </wp:cNvGraphicFramePr>
                  <a:graphic>
                    <a:graphicData uri="http://schemas.openxmlformats.org/drawingml/2006/picture">
                      <pic:pic>
                        <pic:nvPicPr>
                          <pic:cNvPr id="38" name="image19.png"/>
                          <pic:cNvPicPr/>
                        </pic:nvPicPr>
                        <pic:blipFill>
                          <a:blip r:embed="rId29" cstate="print"/>
                          <a:stretch>
                            <a:fillRect/>
                          </a:stretch>
                        </pic:blipFill>
                        <pic:spPr>
                          <a:xfrm>
                            <a:off x="0" y="0"/>
                            <a:ext cx="933550"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265"/>
              <w:rPr>
                <w:b/>
                <w:sz w:val="18"/>
              </w:rPr>
            </w:pPr>
            <w:r>
              <w:rPr>
                <w:b/>
                <w:color w:val="58595B"/>
                <w:sz w:val="18"/>
              </w:rPr>
              <w:t>Nombre de classes par salle</w:t>
            </w:r>
          </w:p>
        </w:tc>
        <w:tc>
          <w:tcPr>
            <w:tcW w:w="185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340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5" w:lineRule="auto" w:before="119"/>
              <w:ind w:left="897" w:right="885" w:hanging="1"/>
              <w:jc w:val="center"/>
              <w:rPr>
                <w:sz w:val="17"/>
              </w:rPr>
            </w:pPr>
            <w:r>
              <w:rPr>
                <w:color w:val="58595B"/>
                <w:sz w:val="17"/>
              </w:rPr>
              <w:t>Nombre de groupes pédagogiques d’EPE</w:t>
            </w:r>
          </w:p>
          <w:p>
            <w:pPr>
              <w:pStyle w:val="TableParagraph"/>
              <w:spacing w:before="3" w:after="1"/>
              <w:rPr>
                <w:rFonts w:ascii="Times New Roman"/>
                <w:sz w:val="13"/>
              </w:rPr>
            </w:pPr>
          </w:p>
          <w:p>
            <w:pPr>
              <w:pStyle w:val="TableParagraph"/>
              <w:spacing w:line="20" w:lineRule="exact"/>
              <w:ind w:left="238"/>
              <w:rPr>
                <w:rFonts w:ascii="Times New Roman"/>
                <w:sz w:val="2"/>
              </w:rPr>
            </w:pPr>
            <w:r>
              <w:rPr>
                <w:rFonts w:ascii="Times New Roman"/>
                <w:sz w:val="2"/>
              </w:rPr>
              <w:pict>
                <v:group style="width:145pt;height:.25pt;mso-position-horizontal-relative:char;mso-position-vertical-relative:line" coordorigin="0,0" coordsize="2900,5">
                  <v:line style="position:absolute" from="0,3" to="2900,3" stroked="true" strokeweight=".25pt" strokecolor="#58595b">
                    <v:stroke dashstyle="solid"/>
                  </v:line>
                </v:group>
              </w:pict>
            </w:r>
            <w:r>
              <w:rPr>
                <w:rFonts w:ascii="Times New Roman"/>
                <w:sz w:val="2"/>
              </w:rPr>
            </w:r>
          </w:p>
          <w:p>
            <w:pPr>
              <w:pStyle w:val="TableParagraph"/>
              <w:spacing w:before="66"/>
              <w:ind w:left="9"/>
              <w:jc w:val="center"/>
              <w:rPr>
                <w:sz w:val="17"/>
              </w:rPr>
            </w:pPr>
            <w:r>
              <w:rPr>
                <w:color w:val="58595B"/>
                <w:sz w:val="17"/>
              </w:rPr>
              <w:t>Nombre de salles d’EPE</w:t>
            </w:r>
          </w:p>
        </w:tc>
        <w:tc>
          <w:tcPr>
            <w:tcW w:w="1991"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31"/>
              <w:ind w:left="159"/>
              <w:rPr>
                <w:sz w:val="17"/>
              </w:rPr>
            </w:pPr>
            <w:r>
              <w:rPr>
                <w:color w:val="58595B"/>
                <w:sz w:val="17"/>
              </w:rPr>
              <w:t>SIGE</w:t>
            </w:r>
          </w:p>
        </w:tc>
        <w:tc>
          <w:tcPr>
            <w:tcW w:w="5194" w:type="dxa"/>
            <w:vMerge w:val="restart"/>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90" w:lineRule="auto" w:before="119"/>
              <w:ind w:left="171" w:right="200"/>
              <w:rPr>
                <w:sz w:val="17"/>
              </w:rPr>
            </w:pPr>
            <w:r>
              <w:rPr>
                <w:color w:val="58595B"/>
                <w:sz w:val="17"/>
              </w:rPr>
              <w:t>Le nombre de classes par salle est utilisé pour estimer les besoins de construction de nouvelles salles. Il est préférable</w:t>
            </w:r>
            <w:r>
              <w:rPr>
                <w:color w:val="58595B"/>
                <w:spacing w:val="-33"/>
                <w:sz w:val="17"/>
              </w:rPr>
              <w:t> </w:t>
            </w:r>
            <w:r>
              <w:rPr>
                <w:color w:val="58595B"/>
                <w:sz w:val="17"/>
              </w:rPr>
              <w:t>de disposer d’une salle par classe (ou par groupe pédagogique), mais cela n’est pas toujours le cas. </w:t>
            </w:r>
            <w:r>
              <w:rPr>
                <w:color w:val="58595B"/>
                <w:spacing w:val="-1"/>
                <w:position w:val="-3"/>
                <w:sz w:val="17"/>
              </w:rPr>
              <w:drawing>
                <wp:inline distT="0" distB="0" distL="0" distR="0">
                  <wp:extent cx="527964" cy="139026"/>
                  <wp:effectExtent l="0" t="0" r="0" b="0"/>
                  <wp:docPr id="39" name="image20.png" descr=""/>
                  <wp:cNvGraphicFramePr>
                    <a:graphicFrameLocks noChangeAspect="1"/>
                  </wp:cNvGraphicFramePr>
                  <a:graphic>
                    <a:graphicData uri="http://schemas.openxmlformats.org/drawingml/2006/picture">
                      <pic:pic>
                        <pic:nvPicPr>
                          <pic:cNvPr id="40" name="image20.png"/>
                          <pic:cNvPicPr/>
                        </pic:nvPicPr>
                        <pic:blipFill>
                          <a:blip r:embed="rId30" cstate="print"/>
                          <a:stretch>
                            <a:fillRect/>
                          </a:stretch>
                        </pic:blipFill>
                        <pic:spPr>
                          <a:xfrm>
                            <a:off x="0" y="0"/>
                            <a:ext cx="527964" cy="139026"/>
                          </a:xfrm>
                          <a:prstGeom prst="rect">
                            <a:avLst/>
                          </a:prstGeom>
                        </pic:spPr>
                      </pic:pic>
                    </a:graphicData>
                  </a:graphic>
                </wp:inline>
              </w:drawing>
            </w:r>
            <w:r>
              <w:rPr>
                <w:color w:val="58595B"/>
                <w:spacing w:val="-1"/>
                <w:position w:val="-3"/>
                <w:sz w:val="17"/>
              </w:rPr>
            </w:r>
            <w:r>
              <w:rPr>
                <w:rFonts w:ascii="Times New Roman" w:hAnsi="Times New Roman"/>
                <w:color w:val="58595B"/>
                <w:spacing w:val="1"/>
                <w:sz w:val="17"/>
              </w:rPr>
              <w:t> </w:t>
            </w:r>
            <w:r>
              <w:rPr>
                <w:color w:val="58595B"/>
                <w:sz w:val="17"/>
              </w:rPr>
              <w:t>Par exemple, certains établissements fonctionnent par double rotation (des élèves vont à l’école le matin et d’autres l’après-midi), ou certains cours doivent se dérouler en extérieur ou dans des salles temporaires.</w:t>
            </w:r>
          </w:p>
        </w:tc>
      </w:tr>
      <w:tr>
        <w:trPr>
          <w:trHeight w:val="936" w:hRule="atLeast"/>
        </w:trPr>
        <w:tc>
          <w:tcPr>
            <w:tcW w:w="1914"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185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21"/>
              </w:rPr>
            </w:pPr>
          </w:p>
          <w:p>
            <w:pPr>
              <w:pStyle w:val="TableParagraph"/>
              <w:spacing w:line="295" w:lineRule="auto" w:before="1"/>
              <w:ind w:left="175" w:right="400"/>
              <w:rPr>
                <w:sz w:val="17"/>
              </w:rPr>
            </w:pPr>
            <w:r>
              <w:rPr>
                <w:color w:val="58595B"/>
                <w:sz w:val="17"/>
              </w:rPr>
              <w:t>Salles de classe permanentes</w:t>
            </w:r>
          </w:p>
        </w:tc>
        <w:tc>
          <w:tcPr>
            <w:tcW w:w="340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127"/>
              <w:ind w:left="193"/>
              <w:rPr>
                <w:sz w:val="17"/>
              </w:rPr>
            </w:pPr>
            <w:r>
              <w:rPr>
                <w:color w:val="58595B"/>
                <w:sz w:val="17"/>
              </w:rPr>
              <w:t>Nombre de groupes pédagogiques d’EPE</w:t>
            </w:r>
          </w:p>
          <w:p>
            <w:pPr>
              <w:pStyle w:val="TableParagraph"/>
              <w:spacing w:before="3"/>
              <w:rPr>
                <w:rFonts w:ascii="Times New Roman"/>
                <w:sz w:val="17"/>
              </w:rPr>
            </w:pPr>
          </w:p>
          <w:p>
            <w:pPr>
              <w:pStyle w:val="TableParagraph"/>
              <w:spacing w:line="20" w:lineRule="exact"/>
              <w:ind w:left="238"/>
              <w:rPr>
                <w:rFonts w:ascii="Times New Roman"/>
                <w:sz w:val="2"/>
              </w:rPr>
            </w:pPr>
            <w:r>
              <w:rPr>
                <w:rFonts w:ascii="Times New Roman"/>
                <w:sz w:val="2"/>
              </w:rPr>
              <w:pict>
                <v:group style="width:145pt;height:.25pt;mso-position-horizontal-relative:char;mso-position-vertical-relative:line" coordorigin="0,0" coordsize="2900,5">
                  <v:line style="position:absolute" from="0,2" to="2900,2" stroked="true" strokeweight=".25pt" strokecolor="#58595b">
                    <v:stroke dashstyle="solid"/>
                  </v:line>
                </v:group>
              </w:pict>
            </w:r>
            <w:r>
              <w:rPr>
                <w:rFonts w:ascii="Times New Roman"/>
                <w:sz w:val="2"/>
              </w:rPr>
            </w:r>
          </w:p>
          <w:p>
            <w:pPr>
              <w:pStyle w:val="TableParagraph"/>
              <w:spacing w:before="66"/>
              <w:ind w:left="250"/>
              <w:rPr>
                <w:sz w:val="17"/>
              </w:rPr>
            </w:pPr>
            <w:r>
              <w:rPr>
                <w:color w:val="58595B"/>
                <w:sz w:val="17"/>
              </w:rPr>
              <w:t>Nombre de salles permanentes d’EPE</w:t>
            </w:r>
          </w:p>
        </w:tc>
        <w:tc>
          <w:tcPr>
            <w:tcW w:w="1991"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c>
          <w:tcPr>
            <w:tcW w:w="5194" w:type="dxa"/>
            <w:vMerge/>
            <w:tcBorders>
              <w:top w:val="nil"/>
              <w:left w:val="single" w:sz="12" w:space="0" w:color="FFFFFF"/>
              <w:bottom w:val="single" w:sz="12" w:space="0" w:color="FFFFFF"/>
              <w:right w:val="single" w:sz="12" w:space="0" w:color="FFFFFF"/>
            </w:tcBorders>
            <w:shd w:val="clear" w:color="auto" w:fill="F9D8D4"/>
          </w:tcPr>
          <w:p>
            <w:pPr>
              <w:rPr>
                <w:sz w:val="2"/>
                <w:szCs w:val="2"/>
              </w:rPr>
            </w:pPr>
          </w:p>
        </w:tc>
      </w:tr>
    </w:tbl>
    <w:p>
      <w:pPr>
        <w:spacing w:after="0"/>
        <w:rPr>
          <w:sz w:val="2"/>
          <w:szCs w:val="2"/>
        </w:rPr>
        <w:sectPr>
          <w:pgSz w:w="15840" w:h="12240" w:orient="landscape"/>
          <w:pgMar w:header="314" w:footer="0" w:top="660" w:bottom="280" w:left="600" w:right="340"/>
        </w:sectPr>
      </w:pPr>
    </w:p>
    <w:p>
      <w:pPr>
        <w:pStyle w:val="BodyText"/>
        <w:spacing w:before="9"/>
        <w:rPr>
          <w:rFonts w:ascii="Times New Roman"/>
          <w:sz w:val="24"/>
        </w:rPr>
      </w:pPr>
    </w:p>
    <w:tbl>
      <w:tblPr>
        <w:tblW w:w="0" w:type="auto"/>
        <w:jc w:val="left"/>
        <w:tblInd w:w="155"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839"/>
        <w:gridCol w:w="3402"/>
        <w:gridCol w:w="2003"/>
        <w:gridCol w:w="5188"/>
      </w:tblGrid>
      <w:tr>
        <w:trPr>
          <w:trHeight w:val="491" w:hRule="atLeast"/>
        </w:trPr>
        <w:tc>
          <w:tcPr>
            <w:tcW w:w="1923" w:type="dxa"/>
            <w:tcBorders>
              <w:left w:val="nil"/>
              <w:right w:val="nil"/>
            </w:tcBorders>
          </w:tcPr>
          <w:p>
            <w:pPr>
              <w:pStyle w:val="TableParagraph"/>
              <w:spacing w:before="142"/>
              <w:ind w:left="543"/>
              <w:rPr>
                <w:b/>
                <w:sz w:val="18"/>
              </w:rPr>
            </w:pPr>
            <w:r>
              <w:rPr>
                <w:b/>
                <w:color w:val="58595B"/>
                <w:sz w:val="18"/>
              </w:rPr>
              <w:t>Indicateur</w:t>
            </w:r>
          </w:p>
        </w:tc>
        <w:tc>
          <w:tcPr>
            <w:tcW w:w="1839" w:type="dxa"/>
            <w:tcBorders>
              <w:left w:val="nil"/>
              <w:right w:val="nil"/>
            </w:tcBorders>
          </w:tcPr>
          <w:p>
            <w:pPr>
              <w:pStyle w:val="TableParagraph"/>
              <w:spacing w:before="142"/>
              <w:ind w:left="531"/>
              <w:rPr>
                <w:b/>
                <w:sz w:val="18"/>
              </w:rPr>
            </w:pPr>
            <w:r>
              <w:rPr>
                <w:b/>
                <w:color w:val="58595B"/>
                <w:sz w:val="18"/>
              </w:rPr>
              <w:t>Variantes</w:t>
            </w:r>
          </w:p>
        </w:tc>
        <w:tc>
          <w:tcPr>
            <w:tcW w:w="3402" w:type="dxa"/>
            <w:tcBorders>
              <w:left w:val="nil"/>
              <w:right w:val="nil"/>
            </w:tcBorders>
          </w:tcPr>
          <w:p>
            <w:pPr>
              <w:pStyle w:val="TableParagraph"/>
              <w:spacing w:before="142"/>
              <w:ind w:left="1271" w:right="1249"/>
              <w:jc w:val="center"/>
              <w:rPr>
                <w:b/>
                <w:sz w:val="18"/>
              </w:rPr>
            </w:pPr>
            <w:r>
              <w:rPr>
                <w:b/>
                <w:color w:val="58595B"/>
                <w:sz w:val="18"/>
              </w:rPr>
              <w:t>Définition</w:t>
            </w:r>
          </w:p>
        </w:tc>
        <w:tc>
          <w:tcPr>
            <w:tcW w:w="2003" w:type="dxa"/>
            <w:tcBorders>
              <w:left w:val="nil"/>
              <w:right w:val="nil"/>
            </w:tcBorders>
          </w:tcPr>
          <w:p>
            <w:pPr>
              <w:pStyle w:val="TableParagraph"/>
              <w:spacing w:line="232" w:lineRule="auto" w:before="47"/>
              <w:ind w:left="57" w:right="15" w:firstLine="409"/>
              <w:rPr>
                <w:b/>
                <w:sz w:val="18"/>
              </w:rPr>
            </w:pPr>
            <w:r>
              <w:rPr>
                <w:b/>
                <w:color w:val="58595B"/>
                <w:sz w:val="18"/>
              </w:rPr>
              <w:t>Source(s) de données potentielle(s)</w:t>
            </w:r>
          </w:p>
        </w:tc>
        <w:tc>
          <w:tcPr>
            <w:tcW w:w="5188" w:type="dxa"/>
            <w:tcBorders>
              <w:left w:val="nil"/>
              <w:right w:val="nil"/>
            </w:tcBorders>
          </w:tcPr>
          <w:p>
            <w:pPr>
              <w:pStyle w:val="TableParagraph"/>
              <w:spacing w:before="142"/>
              <w:ind w:left="2008" w:right="1987"/>
              <w:jc w:val="center"/>
              <w:rPr>
                <w:b/>
                <w:sz w:val="18"/>
              </w:rPr>
            </w:pPr>
            <w:r>
              <w:rPr>
                <w:b/>
                <w:color w:val="58595B"/>
                <w:sz w:val="18"/>
              </w:rPr>
              <w:t>Observations</w:t>
            </w:r>
          </w:p>
        </w:tc>
      </w:tr>
      <w:tr>
        <w:trPr>
          <w:trHeight w:val="7482" w:hRule="atLeast"/>
        </w:trPr>
        <w:tc>
          <w:tcPr>
            <w:tcW w:w="1923" w:type="dxa"/>
            <w:tcBorders>
              <w:left w:val="single" w:sz="12" w:space="0" w:color="FFFFFF"/>
              <w:bottom w:val="single" w:sz="12" w:space="0" w:color="FFFFFF"/>
              <w:right w:val="single" w:sz="12" w:space="0" w:color="FFFFFF"/>
            </w:tcBorders>
            <w:shd w:val="clear" w:color="auto" w:fill="F9D8D4"/>
          </w:tcPr>
          <w:p>
            <w:pPr>
              <w:pStyle w:val="TableParagraph"/>
              <w:spacing w:before="7"/>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33550" cy="133350"/>
                  <wp:effectExtent l="0" t="0" r="0" b="0"/>
                  <wp:docPr id="41" name="image21.png" descr=""/>
                  <wp:cNvGraphicFramePr>
                    <a:graphicFrameLocks noChangeAspect="1"/>
                  </wp:cNvGraphicFramePr>
                  <a:graphic>
                    <a:graphicData uri="http://schemas.openxmlformats.org/drawingml/2006/picture">
                      <pic:pic>
                        <pic:nvPicPr>
                          <pic:cNvPr id="42" name="image21.png"/>
                          <pic:cNvPicPr/>
                        </pic:nvPicPr>
                        <pic:blipFill>
                          <a:blip r:embed="rId31" cstate="print"/>
                          <a:stretch>
                            <a:fillRect/>
                          </a:stretch>
                        </pic:blipFill>
                        <pic:spPr>
                          <a:xfrm>
                            <a:off x="0" y="0"/>
                            <a:ext cx="933550"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265"/>
              <w:rPr>
                <w:b/>
                <w:sz w:val="18"/>
              </w:rPr>
            </w:pPr>
            <w:r>
              <w:rPr>
                <w:b/>
                <w:color w:val="58595B"/>
                <w:sz w:val="18"/>
              </w:rPr>
              <w:t>Coût unitaire par salle de classe (équipée)</w:t>
            </w:r>
          </w:p>
        </w:tc>
        <w:tc>
          <w:tcPr>
            <w:tcW w:w="1839" w:type="dxa"/>
            <w:tcBorders>
              <w:left w:val="single" w:sz="12" w:space="0" w:color="FFFFFF"/>
              <w:bottom w:val="single" w:sz="12" w:space="0" w:color="FFFFFF"/>
              <w:right w:val="single" w:sz="12" w:space="0" w:color="FFFFFF"/>
            </w:tcBorders>
            <w:shd w:val="clear" w:color="auto" w:fill="F9D8D4"/>
          </w:tcPr>
          <w:p>
            <w:pPr>
              <w:pStyle w:val="TableParagraph"/>
              <w:spacing w:line="271" w:lineRule="auto" w:before="121"/>
              <w:ind w:left="167" w:right="251"/>
              <w:rPr>
                <w:sz w:val="17"/>
              </w:rPr>
            </w:pPr>
            <w:r>
              <w:rPr>
                <w:color w:val="58595B"/>
                <w:sz w:val="17"/>
              </w:rPr>
              <w:t>Par type de salle/ processus d’achat</w:t>
            </w:r>
          </w:p>
        </w:tc>
        <w:tc>
          <w:tcPr>
            <w:tcW w:w="3402"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25"/>
              <w:ind w:left="22"/>
              <w:jc w:val="center"/>
              <w:rPr>
                <w:sz w:val="17"/>
              </w:rPr>
            </w:pPr>
            <w:r>
              <w:rPr>
                <w:color w:val="58595B"/>
                <w:sz w:val="17"/>
              </w:rPr>
              <w:t>Coût d’une salle de classe équipée</w:t>
            </w:r>
          </w:p>
        </w:tc>
        <w:tc>
          <w:tcPr>
            <w:tcW w:w="2003" w:type="dxa"/>
            <w:tcBorders>
              <w:left w:val="single" w:sz="12" w:space="0" w:color="FFFFFF"/>
              <w:bottom w:val="single" w:sz="12" w:space="0" w:color="FFFFFF"/>
              <w:right w:val="single" w:sz="12" w:space="0" w:color="FFFFFF"/>
            </w:tcBorders>
            <w:shd w:val="clear" w:color="auto" w:fill="F9D8D4"/>
          </w:tcPr>
          <w:p>
            <w:pPr>
              <w:pStyle w:val="TableParagraph"/>
              <w:spacing w:line="271" w:lineRule="auto" w:before="121"/>
              <w:ind w:left="166" w:right="624"/>
              <w:rPr>
                <w:sz w:val="17"/>
              </w:rPr>
            </w:pPr>
            <w:r>
              <w:rPr>
                <w:color w:val="58595B"/>
                <w:sz w:val="17"/>
              </w:rPr>
              <w:t>Service des infrastructures du ministère de l’éducation/des</w:t>
            </w:r>
          </w:p>
          <w:p>
            <w:pPr>
              <w:pStyle w:val="TableParagraph"/>
              <w:spacing w:line="271" w:lineRule="auto"/>
              <w:ind w:left="166" w:right="435"/>
              <w:rPr>
                <w:sz w:val="17"/>
              </w:rPr>
            </w:pPr>
            <w:r>
              <w:rPr>
                <w:color w:val="58595B"/>
                <w:sz w:val="17"/>
              </w:rPr>
              <w:t>finances, services rattachés aux ministères à un niveau inférieur (infranational ou local), ou autres organismes</w:t>
            </w:r>
          </w:p>
          <w:p>
            <w:pPr>
              <w:pStyle w:val="TableParagraph"/>
              <w:spacing w:line="271" w:lineRule="auto"/>
              <w:ind w:left="166" w:right="567"/>
              <w:rPr>
                <w:sz w:val="17"/>
              </w:rPr>
            </w:pPr>
            <w:r>
              <w:rPr>
                <w:color w:val="58595B"/>
                <w:sz w:val="17"/>
              </w:rPr>
              <w:t>(par exemple, organisations humanitaires et partenaires de développement)</w:t>
            </w:r>
          </w:p>
          <w:p>
            <w:pPr>
              <w:pStyle w:val="TableParagraph"/>
              <w:spacing w:before="99"/>
              <w:ind w:left="166"/>
              <w:rPr>
                <w:sz w:val="17"/>
              </w:rPr>
            </w:pPr>
            <w:r>
              <w:rPr>
                <w:color w:val="58595B"/>
                <w:sz w:val="17"/>
              </w:rPr>
              <w:t>et/ou</w:t>
            </w:r>
          </w:p>
          <w:p>
            <w:pPr>
              <w:pStyle w:val="TableParagraph"/>
              <w:spacing w:line="271" w:lineRule="auto" w:before="138"/>
              <w:ind w:left="166" w:right="265"/>
              <w:rPr>
                <w:sz w:val="17"/>
              </w:rPr>
            </w:pPr>
            <w:r>
              <w:rPr>
                <w:color w:val="58595B"/>
                <w:sz w:val="17"/>
              </w:rPr>
              <w:t>Services des achats du ministère de l’éducation/des finances, services rattachés aux ministères à un niveau inférieur (infranational ou local), ou autres organismes</w:t>
            </w:r>
          </w:p>
          <w:p>
            <w:pPr>
              <w:pStyle w:val="TableParagraph"/>
              <w:spacing w:line="271" w:lineRule="auto"/>
              <w:ind w:left="166" w:right="520"/>
              <w:rPr>
                <w:sz w:val="17"/>
              </w:rPr>
            </w:pPr>
            <w:r>
              <w:rPr>
                <w:color w:val="58595B"/>
                <w:sz w:val="17"/>
              </w:rPr>
              <w:t>(par exemple, organisations humanitaires et partenaires de développement).</w:t>
            </w:r>
          </w:p>
        </w:tc>
        <w:tc>
          <w:tcPr>
            <w:tcW w:w="5188" w:type="dxa"/>
            <w:tcBorders>
              <w:left w:val="single" w:sz="12" w:space="0" w:color="FFFFFF"/>
              <w:bottom w:val="single" w:sz="12" w:space="0" w:color="FFFFFF"/>
              <w:right w:val="single" w:sz="12" w:space="0" w:color="FFFFFF"/>
            </w:tcBorders>
            <w:shd w:val="clear" w:color="auto" w:fill="F9D8D4"/>
          </w:tcPr>
          <w:p>
            <w:pPr>
              <w:pStyle w:val="TableParagraph"/>
              <w:spacing w:line="271" w:lineRule="auto" w:before="121"/>
              <w:ind w:left="165" w:right="310"/>
              <w:rPr>
                <w:sz w:val="17"/>
              </w:rPr>
            </w:pPr>
            <w:r>
              <w:rPr>
                <w:color w:val="58595B"/>
                <w:sz w:val="17"/>
              </w:rPr>
              <w:t>Le coût unitaire d’une salle de classe de qualité tout équipée permettra</w:t>
            </w:r>
            <w:r>
              <w:rPr>
                <w:color w:val="58595B"/>
                <w:spacing w:val="-7"/>
                <w:sz w:val="17"/>
              </w:rPr>
              <w:t> </w:t>
            </w:r>
            <w:r>
              <w:rPr>
                <w:color w:val="58595B"/>
                <w:sz w:val="17"/>
              </w:rPr>
              <w:t>de</w:t>
            </w:r>
            <w:r>
              <w:rPr>
                <w:color w:val="58595B"/>
                <w:spacing w:val="-7"/>
                <w:sz w:val="17"/>
              </w:rPr>
              <w:t> </w:t>
            </w:r>
            <w:r>
              <w:rPr>
                <w:color w:val="58595B"/>
                <w:sz w:val="17"/>
              </w:rPr>
              <w:t>chiffrer</w:t>
            </w:r>
            <w:r>
              <w:rPr>
                <w:color w:val="58595B"/>
                <w:spacing w:val="-5"/>
                <w:sz w:val="17"/>
              </w:rPr>
              <w:t> </w:t>
            </w:r>
            <w:r>
              <w:rPr>
                <w:color w:val="58595B"/>
                <w:sz w:val="17"/>
              </w:rPr>
              <w:t>les</w:t>
            </w:r>
            <w:r>
              <w:rPr>
                <w:color w:val="58595B"/>
                <w:spacing w:val="-7"/>
                <w:sz w:val="17"/>
              </w:rPr>
              <w:t> </w:t>
            </w:r>
            <w:r>
              <w:rPr>
                <w:color w:val="58595B"/>
                <w:sz w:val="17"/>
              </w:rPr>
              <w:t>besoins</w:t>
            </w:r>
            <w:r>
              <w:rPr>
                <w:color w:val="58595B"/>
                <w:spacing w:val="-6"/>
                <w:sz w:val="17"/>
              </w:rPr>
              <w:t> </w:t>
            </w:r>
            <w:r>
              <w:rPr>
                <w:color w:val="58595B"/>
                <w:sz w:val="17"/>
              </w:rPr>
              <w:t>d’infrastructures.</w:t>
            </w:r>
            <w:r>
              <w:rPr>
                <w:color w:val="58595B"/>
                <w:spacing w:val="-7"/>
                <w:sz w:val="17"/>
              </w:rPr>
              <w:t> </w:t>
            </w:r>
            <w:r>
              <w:rPr>
                <w:color w:val="58595B"/>
                <w:sz w:val="17"/>
              </w:rPr>
              <w:t>En</w:t>
            </w:r>
            <w:r>
              <w:rPr>
                <w:color w:val="58595B"/>
                <w:spacing w:val="-6"/>
                <w:sz w:val="17"/>
              </w:rPr>
              <w:t> </w:t>
            </w:r>
            <w:r>
              <w:rPr>
                <w:color w:val="58595B"/>
                <w:sz w:val="17"/>
              </w:rPr>
              <w:t>général, le coût du matériel scolaire des nouvelles salles de classe</w:t>
            </w:r>
            <w:r>
              <w:rPr>
                <w:color w:val="58595B"/>
                <w:spacing w:val="-21"/>
                <w:sz w:val="17"/>
              </w:rPr>
              <w:t> </w:t>
            </w:r>
            <w:r>
              <w:rPr>
                <w:color w:val="58595B"/>
                <w:sz w:val="17"/>
              </w:rPr>
              <w:t>est</w:t>
            </w:r>
          </w:p>
          <w:p>
            <w:pPr>
              <w:pStyle w:val="TableParagraph"/>
              <w:spacing w:line="271" w:lineRule="auto"/>
              <w:ind w:left="165" w:right="144"/>
              <w:rPr>
                <w:sz w:val="17"/>
              </w:rPr>
            </w:pPr>
            <w:r>
              <w:rPr>
                <w:color w:val="58595B"/>
                <w:sz w:val="17"/>
              </w:rPr>
              <w:t>calculé séparément, car il a une durée de vie plus courte et peut également être nécessaire pour équiper des salles</w:t>
            </w:r>
            <w:r>
              <w:rPr>
                <w:color w:val="58595B"/>
                <w:spacing w:val="-32"/>
                <w:sz w:val="17"/>
              </w:rPr>
              <w:t> </w:t>
            </w:r>
            <w:r>
              <w:rPr>
                <w:color w:val="58595B"/>
                <w:sz w:val="17"/>
              </w:rPr>
              <w:t>existantes.</w:t>
            </w:r>
          </w:p>
          <w:p>
            <w:pPr>
              <w:pStyle w:val="TableParagraph"/>
              <w:spacing w:line="268" w:lineRule="auto" w:before="109"/>
              <w:ind w:left="165" w:right="135"/>
              <w:rPr>
                <w:sz w:val="17"/>
              </w:rPr>
            </w:pPr>
            <w:r>
              <w:rPr>
                <w:position w:val="-3"/>
              </w:rPr>
              <w:drawing>
                <wp:inline distT="0" distB="0" distL="0" distR="0">
                  <wp:extent cx="647598" cy="138963"/>
                  <wp:effectExtent l="0" t="0" r="0" b="0"/>
                  <wp:docPr id="43" name="image22.png" descr=""/>
                  <wp:cNvGraphicFramePr>
                    <a:graphicFrameLocks noChangeAspect="1"/>
                  </wp:cNvGraphicFramePr>
                  <a:graphic>
                    <a:graphicData uri="http://schemas.openxmlformats.org/drawingml/2006/picture">
                      <pic:pic>
                        <pic:nvPicPr>
                          <pic:cNvPr id="44" name="image22.png"/>
                          <pic:cNvPicPr/>
                        </pic:nvPicPr>
                        <pic:blipFill>
                          <a:blip r:embed="rId32" cstate="print"/>
                          <a:stretch>
                            <a:fillRect/>
                          </a:stretch>
                        </pic:blipFill>
                        <pic:spPr>
                          <a:xfrm>
                            <a:off x="0" y="0"/>
                            <a:ext cx="647598" cy="138963"/>
                          </a:xfrm>
                          <a:prstGeom prst="rect">
                            <a:avLst/>
                          </a:prstGeom>
                        </pic:spPr>
                      </pic:pic>
                    </a:graphicData>
                  </a:graphic>
                </wp:inline>
              </w:drawing>
            </w:r>
            <w:r>
              <w:rPr>
                <w:position w:val="-3"/>
              </w:rPr>
            </w:r>
            <w:r>
              <w:rPr>
                <w:rFonts w:ascii="Times New Roman" w:hAnsi="Times New Roman"/>
                <w:spacing w:val="-3"/>
                <w:sz w:val="20"/>
              </w:rPr>
              <w:t> </w:t>
            </w:r>
            <w:r>
              <w:rPr>
                <w:color w:val="58595B"/>
                <w:sz w:val="17"/>
              </w:rPr>
              <w:t>Il est important de comparer le coût des différents types de construction (salles permanentes, préfabriquées, salles temporaires fabriquées à partir de matériaux locaux, espaces temporaires d’apprentissage en situation de crise, etc.), ainsi que des différents modes d’achat (centralisé, décentralisé, communautaire, humanitaire,</w:t>
            </w:r>
            <w:r>
              <w:rPr>
                <w:color w:val="58595B"/>
                <w:spacing w:val="-2"/>
                <w:sz w:val="17"/>
              </w:rPr>
              <w:t> </w:t>
            </w:r>
            <w:r>
              <w:rPr>
                <w:color w:val="58595B"/>
                <w:sz w:val="17"/>
              </w:rPr>
              <w:t>etc.).</w:t>
            </w:r>
          </w:p>
          <w:p>
            <w:pPr>
              <w:pStyle w:val="TableParagraph"/>
              <w:spacing w:line="271" w:lineRule="auto" w:before="113"/>
              <w:ind w:left="165" w:right="162"/>
              <w:rPr>
                <w:sz w:val="17"/>
              </w:rPr>
            </w:pPr>
            <w:r>
              <w:rPr>
                <w:color w:val="58595B"/>
                <w:sz w:val="17"/>
              </w:rPr>
              <w:t>Lors de l’examen des politiques envisagées, il convient en outre de prendre en compte la durée de vie prévue des différents types de construction, bien que la durée de vie réelle de la plupart des constructions soit probablement supérieure à celle du modèle de simulation.</w:t>
            </w:r>
          </w:p>
        </w:tc>
      </w:tr>
      <w:tr>
        <w:trPr>
          <w:trHeight w:val="1979"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947553" cy="135350"/>
                  <wp:effectExtent l="0" t="0" r="0" b="0"/>
                  <wp:docPr id="45" name="image23.png" descr=""/>
                  <wp:cNvGraphicFramePr>
                    <a:graphicFrameLocks noChangeAspect="1"/>
                  </wp:cNvGraphicFramePr>
                  <a:graphic>
                    <a:graphicData uri="http://schemas.openxmlformats.org/drawingml/2006/picture">
                      <pic:pic>
                        <pic:nvPicPr>
                          <pic:cNvPr id="46" name="image23.png"/>
                          <pic:cNvPicPr/>
                        </pic:nvPicPr>
                        <pic:blipFill>
                          <a:blip r:embed="rId33" cstate="print"/>
                          <a:stretch>
                            <a:fillRect/>
                          </a:stretch>
                        </pic:blipFill>
                        <pic:spPr>
                          <a:xfrm>
                            <a:off x="0" y="0"/>
                            <a:ext cx="947553"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235"/>
              <w:rPr>
                <w:b/>
                <w:sz w:val="18"/>
              </w:rPr>
            </w:pPr>
            <w:r>
              <w:rPr>
                <w:b/>
                <w:color w:val="58595B"/>
                <w:sz w:val="18"/>
              </w:rPr>
              <w:t>Nombre de latrines par élève</w:t>
            </w:r>
          </w:p>
        </w:tc>
        <w:tc>
          <w:tcPr>
            <w:tcW w:w="1839"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23"/>
              </w:rPr>
            </w:pPr>
          </w:p>
          <w:p>
            <w:pPr>
              <w:pStyle w:val="TableParagraph"/>
              <w:spacing w:before="1"/>
              <w:ind w:left="167"/>
              <w:rPr>
                <w:sz w:val="17"/>
              </w:rPr>
            </w:pPr>
            <w:r>
              <w:rPr>
                <w:color w:val="58595B"/>
                <w:sz w:val="17"/>
              </w:rPr>
              <w:t>Par type</w:t>
            </w:r>
          </w:p>
        </w:tc>
        <w:tc>
          <w:tcPr>
            <w:tcW w:w="340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spacing w:before="145"/>
              <w:ind w:left="979"/>
              <w:rPr>
                <w:sz w:val="17"/>
              </w:rPr>
            </w:pPr>
            <w:r>
              <w:rPr>
                <w:color w:val="58595B"/>
                <w:sz w:val="17"/>
              </w:rPr>
              <w:t>Nombre de latrines</w:t>
            </w:r>
          </w:p>
          <w:p>
            <w:pPr>
              <w:pStyle w:val="TableParagraph"/>
              <w:spacing w:line="271" w:lineRule="auto" w:before="25"/>
              <w:ind w:left="407" w:right="383"/>
              <w:jc w:val="center"/>
              <w:rPr>
                <w:sz w:val="17"/>
              </w:rPr>
            </w:pPr>
            <w:r>
              <w:rPr>
                <w:rFonts w:ascii="Times New Roman" w:hAnsi="Times New Roman"/>
                <w:color w:val="58595B"/>
                <w:sz w:val="17"/>
                <w:u w:val="single" w:color="000000"/>
              </w:rPr>
              <w:t>   </w:t>
            </w:r>
            <w:r>
              <w:rPr>
                <w:color w:val="58595B"/>
                <w:sz w:val="17"/>
                <w:u w:val="single" w:color="000000"/>
              </w:rPr>
              <w:t>accessibles aux élèves de l’EPE</w:t>
            </w:r>
            <w:r>
              <w:rPr>
                <w:color w:val="58595B"/>
                <w:sz w:val="17"/>
              </w:rPr>
              <w:t> Nombre d’élèves dans l’EPE</w:t>
            </w:r>
          </w:p>
        </w:tc>
        <w:tc>
          <w:tcPr>
            <w:tcW w:w="2003"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23"/>
              </w:rPr>
            </w:pPr>
          </w:p>
          <w:p>
            <w:pPr>
              <w:pStyle w:val="TableParagraph"/>
              <w:spacing w:before="1"/>
              <w:ind w:left="166"/>
              <w:rPr>
                <w:sz w:val="17"/>
              </w:rPr>
            </w:pPr>
            <w:r>
              <w:rPr>
                <w:color w:val="58595B"/>
                <w:sz w:val="17"/>
              </w:rPr>
              <w:t>SIGE</w:t>
            </w:r>
          </w:p>
        </w:tc>
        <w:tc>
          <w:tcPr>
            <w:tcW w:w="518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line="271" w:lineRule="auto" w:before="119"/>
              <w:ind w:left="165" w:right="134"/>
              <w:rPr>
                <w:sz w:val="17"/>
              </w:rPr>
            </w:pPr>
            <w:r>
              <w:rPr>
                <w:color w:val="58595B"/>
                <w:sz w:val="17"/>
              </w:rPr>
              <w:t>Le nombre de latrines par élève est utilisé pour estimer les besoins de construction de nouvelles latrines. Il est parfois impossible de distinguer le nombre de latrines à la disposition des élèves de l’EPE de celles accessibles aux autres niveaux d’enseignement (par exemple, lorsque les structures d’EPE sont rattachées à des établissements primaires). Dans ce cas, une estimation peut être calculée à partir des proportions relatives d’élèves.</w:t>
            </w:r>
          </w:p>
        </w:tc>
      </w:tr>
    </w:tbl>
    <w:p>
      <w:pPr>
        <w:spacing w:after="0" w:line="271" w:lineRule="auto"/>
        <w:rPr>
          <w:sz w:val="17"/>
        </w:rPr>
        <w:sectPr>
          <w:pgSz w:w="15840" w:h="12240" w:orient="landscape"/>
          <w:pgMar w:header="314" w:footer="0" w:top="660" w:bottom="280" w:left="600" w:right="340"/>
        </w:sectPr>
      </w:pPr>
    </w:p>
    <w:p>
      <w:pPr>
        <w:pStyle w:val="BodyText"/>
        <w:spacing w:before="4"/>
        <w:rPr>
          <w:rFonts w:ascii="Times New Roman"/>
          <w:sz w:val="5"/>
        </w:rPr>
      </w:pPr>
    </w:p>
    <w:tbl>
      <w:tblPr>
        <w:tblW w:w="0" w:type="auto"/>
        <w:jc w:val="left"/>
        <w:tblInd w:w="30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839"/>
        <w:gridCol w:w="516"/>
        <w:gridCol w:w="2894"/>
        <w:gridCol w:w="1997"/>
        <w:gridCol w:w="5189"/>
      </w:tblGrid>
      <w:tr>
        <w:trPr>
          <w:trHeight w:val="491" w:hRule="atLeast"/>
        </w:trPr>
        <w:tc>
          <w:tcPr>
            <w:tcW w:w="1923" w:type="dxa"/>
            <w:tcBorders>
              <w:left w:val="nil"/>
              <w:right w:val="nil"/>
            </w:tcBorders>
          </w:tcPr>
          <w:p>
            <w:pPr>
              <w:pStyle w:val="TableParagraph"/>
              <w:spacing w:before="142"/>
              <w:ind w:left="543"/>
              <w:rPr>
                <w:b/>
                <w:sz w:val="18"/>
              </w:rPr>
            </w:pPr>
            <w:r>
              <w:rPr>
                <w:b/>
                <w:color w:val="58595B"/>
                <w:sz w:val="18"/>
              </w:rPr>
              <w:t>Indicateur</w:t>
            </w:r>
          </w:p>
        </w:tc>
        <w:tc>
          <w:tcPr>
            <w:tcW w:w="1839" w:type="dxa"/>
            <w:tcBorders>
              <w:left w:val="nil"/>
              <w:right w:val="nil"/>
            </w:tcBorders>
          </w:tcPr>
          <w:p>
            <w:pPr>
              <w:pStyle w:val="TableParagraph"/>
              <w:spacing w:before="142"/>
              <w:ind w:left="530"/>
              <w:rPr>
                <w:b/>
                <w:sz w:val="18"/>
              </w:rPr>
            </w:pPr>
            <w:r>
              <w:rPr>
                <w:b/>
                <w:color w:val="58595B"/>
                <w:sz w:val="18"/>
              </w:rPr>
              <w:t>Variantes</w:t>
            </w:r>
          </w:p>
        </w:tc>
        <w:tc>
          <w:tcPr>
            <w:tcW w:w="516" w:type="dxa"/>
            <w:tcBorders>
              <w:left w:val="nil"/>
              <w:right w:val="nil"/>
            </w:tcBorders>
          </w:tcPr>
          <w:p>
            <w:pPr>
              <w:pStyle w:val="TableParagraph"/>
              <w:rPr>
                <w:rFonts w:ascii="Times New Roman"/>
                <w:sz w:val="16"/>
              </w:rPr>
            </w:pPr>
          </w:p>
        </w:tc>
        <w:tc>
          <w:tcPr>
            <w:tcW w:w="2894" w:type="dxa"/>
            <w:tcBorders>
              <w:left w:val="nil"/>
              <w:right w:val="nil"/>
            </w:tcBorders>
          </w:tcPr>
          <w:p>
            <w:pPr>
              <w:pStyle w:val="TableParagraph"/>
              <w:spacing w:before="142"/>
              <w:ind w:left="781"/>
              <w:rPr>
                <w:b/>
                <w:sz w:val="18"/>
              </w:rPr>
            </w:pPr>
            <w:r>
              <w:rPr>
                <w:b/>
                <w:color w:val="58595B"/>
                <w:sz w:val="18"/>
              </w:rPr>
              <w:t>Définition</w:t>
            </w:r>
          </w:p>
        </w:tc>
        <w:tc>
          <w:tcPr>
            <w:tcW w:w="1997" w:type="dxa"/>
            <w:tcBorders>
              <w:left w:val="nil"/>
              <w:right w:val="nil"/>
            </w:tcBorders>
          </w:tcPr>
          <w:p>
            <w:pPr>
              <w:pStyle w:val="TableParagraph"/>
              <w:spacing w:line="232" w:lineRule="auto" w:before="47"/>
              <w:ind w:left="49" w:right="17" w:firstLine="409"/>
              <w:rPr>
                <w:b/>
                <w:sz w:val="18"/>
              </w:rPr>
            </w:pPr>
            <w:r>
              <w:rPr>
                <w:b/>
                <w:color w:val="58595B"/>
                <w:sz w:val="18"/>
              </w:rPr>
              <w:t>Source(s) de données potentielle(s)</w:t>
            </w:r>
          </w:p>
        </w:tc>
        <w:tc>
          <w:tcPr>
            <w:tcW w:w="5189" w:type="dxa"/>
            <w:tcBorders>
              <w:left w:val="nil"/>
              <w:right w:val="nil"/>
            </w:tcBorders>
          </w:tcPr>
          <w:p>
            <w:pPr>
              <w:pStyle w:val="TableParagraph"/>
              <w:spacing w:before="142"/>
              <w:ind w:left="2006" w:right="1991"/>
              <w:jc w:val="center"/>
              <w:rPr>
                <w:b/>
                <w:sz w:val="18"/>
              </w:rPr>
            </w:pPr>
            <w:r>
              <w:rPr>
                <w:b/>
                <w:color w:val="58595B"/>
                <w:sz w:val="18"/>
              </w:rPr>
              <w:t>Observations</w:t>
            </w:r>
          </w:p>
        </w:tc>
      </w:tr>
      <w:tr>
        <w:trPr>
          <w:trHeight w:val="2862" w:hRule="atLeast"/>
        </w:trPr>
        <w:tc>
          <w:tcPr>
            <w:tcW w:w="1923" w:type="dxa"/>
            <w:tcBorders>
              <w:left w:val="single" w:sz="12" w:space="0" w:color="FFFFFF"/>
              <w:bottom w:val="single" w:sz="12" w:space="0" w:color="FFFFFF"/>
              <w:right w:val="single" w:sz="12" w:space="0" w:color="FFFFFF"/>
            </w:tcBorders>
            <w:shd w:val="clear" w:color="auto" w:fill="F9D8D4"/>
          </w:tcPr>
          <w:p>
            <w:pPr>
              <w:pStyle w:val="TableParagraph"/>
              <w:spacing w:before="7"/>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33550" cy="133350"/>
                  <wp:effectExtent l="0" t="0" r="0" b="0"/>
                  <wp:docPr id="47" name="image24.png" descr=""/>
                  <wp:cNvGraphicFramePr>
                    <a:graphicFrameLocks noChangeAspect="1"/>
                  </wp:cNvGraphicFramePr>
                  <a:graphic>
                    <a:graphicData uri="http://schemas.openxmlformats.org/drawingml/2006/picture">
                      <pic:pic>
                        <pic:nvPicPr>
                          <pic:cNvPr id="48" name="image24.png"/>
                          <pic:cNvPicPr/>
                        </pic:nvPicPr>
                        <pic:blipFill>
                          <a:blip r:embed="rId34" cstate="print"/>
                          <a:stretch>
                            <a:fillRect/>
                          </a:stretch>
                        </pic:blipFill>
                        <pic:spPr>
                          <a:xfrm>
                            <a:off x="0" y="0"/>
                            <a:ext cx="933550" cy="133350"/>
                          </a:xfrm>
                          <a:prstGeom prst="rect">
                            <a:avLst/>
                          </a:prstGeom>
                        </pic:spPr>
                      </pic:pic>
                    </a:graphicData>
                  </a:graphic>
                </wp:inline>
              </w:drawing>
            </w:r>
            <w:r>
              <w:rPr>
                <w:rFonts w:ascii="Times New Roman"/>
                <w:position w:val="-3"/>
                <w:sz w:val="20"/>
              </w:rPr>
            </w:r>
          </w:p>
          <w:p>
            <w:pPr>
              <w:pStyle w:val="TableParagraph"/>
              <w:spacing w:before="73"/>
              <w:ind w:left="167"/>
              <w:rPr>
                <w:sz w:val="18"/>
              </w:rPr>
            </w:pPr>
            <w:r>
              <w:rPr>
                <w:color w:val="58595B"/>
                <w:sz w:val="18"/>
              </w:rPr>
              <w:t>Coût unitaire d’une</w:t>
            </w:r>
          </w:p>
          <w:p>
            <w:pPr>
              <w:pStyle w:val="TableParagraph"/>
              <w:spacing w:before="33"/>
              <w:ind w:left="167"/>
              <w:rPr>
                <w:sz w:val="18"/>
              </w:rPr>
            </w:pPr>
            <w:r>
              <w:rPr>
                <w:color w:val="58595B"/>
                <w:sz w:val="18"/>
              </w:rPr>
              <w:t>latrine</w:t>
            </w:r>
          </w:p>
        </w:tc>
        <w:tc>
          <w:tcPr>
            <w:tcW w:w="1839"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5"/>
              <w:rPr>
                <w:rFonts w:ascii="Times New Roman"/>
                <w:sz w:val="16"/>
              </w:rPr>
            </w:pPr>
          </w:p>
          <w:p>
            <w:pPr>
              <w:pStyle w:val="TableParagraph"/>
              <w:spacing w:line="271" w:lineRule="auto"/>
              <w:ind w:left="166" w:right="196"/>
              <w:rPr>
                <w:sz w:val="17"/>
              </w:rPr>
            </w:pPr>
            <w:r>
              <w:rPr>
                <w:color w:val="58595B"/>
                <w:sz w:val="17"/>
              </w:rPr>
              <w:t>Par type de latrine/ processus d’achat</w:t>
            </w:r>
          </w:p>
        </w:tc>
        <w:tc>
          <w:tcPr>
            <w:tcW w:w="3410" w:type="dxa"/>
            <w:gridSpan w:val="2"/>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26"/>
              </w:rPr>
            </w:pPr>
          </w:p>
          <w:p>
            <w:pPr>
              <w:pStyle w:val="TableParagraph"/>
              <w:ind w:left="430"/>
              <w:rPr>
                <w:sz w:val="17"/>
              </w:rPr>
            </w:pPr>
            <w:r>
              <w:rPr>
                <w:color w:val="58595B"/>
                <w:sz w:val="17"/>
              </w:rPr>
              <w:t>Coût de construction d’une latrine</w:t>
            </w:r>
          </w:p>
        </w:tc>
        <w:tc>
          <w:tcPr>
            <w:tcW w:w="1997"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20"/>
              </w:rPr>
            </w:pPr>
          </w:p>
          <w:p>
            <w:pPr>
              <w:pStyle w:val="TableParagraph"/>
              <w:spacing w:line="271" w:lineRule="auto" w:before="1"/>
              <w:ind w:left="158" w:right="626"/>
              <w:rPr>
                <w:sz w:val="17"/>
              </w:rPr>
            </w:pPr>
            <w:r>
              <w:rPr>
                <w:color w:val="58595B"/>
                <w:sz w:val="17"/>
              </w:rPr>
              <w:t>Service des infrastructures du ministère de l’éducation/des finances</w:t>
            </w:r>
          </w:p>
          <w:p>
            <w:pPr>
              <w:pStyle w:val="TableParagraph"/>
              <w:spacing w:before="109"/>
              <w:ind w:left="158"/>
              <w:rPr>
                <w:sz w:val="17"/>
              </w:rPr>
            </w:pPr>
            <w:r>
              <w:rPr>
                <w:color w:val="58595B"/>
                <w:sz w:val="17"/>
              </w:rPr>
              <w:t>et/ou</w:t>
            </w:r>
          </w:p>
          <w:p>
            <w:pPr>
              <w:pStyle w:val="TableParagraph"/>
              <w:spacing w:line="271" w:lineRule="auto" w:before="137"/>
              <w:ind w:left="158" w:right="267"/>
              <w:rPr>
                <w:sz w:val="17"/>
              </w:rPr>
            </w:pPr>
            <w:r>
              <w:rPr>
                <w:color w:val="58595B"/>
                <w:sz w:val="17"/>
              </w:rPr>
              <w:t>Services des achats du ministère de l’éducation/des finances</w:t>
            </w:r>
          </w:p>
        </w:tc>
        <w:tc>
          <w:tcPr>
            <w:tcW w:w="5189" w:type="dxa"/>
            <w:tcBorders>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spacing w:before="8"/>
              <w:rPr>
                <w:rFonts w:ascii="Times New Roman"/>
                <w:sz w:val="17"/>
              </w:rPr>
            </w:pPr>
          </w:p>
          <w:p>
            <w:pPr>
              <w:pStyle w:val="TableParagraph"/>
              <w:spacing w:line="271" w:lineRule="auto"/>
              <w:ind w:left="163" w:right="468"/>
              <w:rPr>
                <w:sz w:val="17"/>
              </w:rPr>
            </w:pPr>
            <w:r>
              <w:rPr>
                <w:color w:val="58595B"/>
                <w:sz w:val="17"/>
              </w:rPr>
              <w:t>Une attention particulière doit être accordée aux types de latrines et aux processus d’achat, car ces éléments peuvent avoir une incidence non négligeable sur les coûts.</w:t>
            </w:r>
          </w:p>
          <w:p>
            <w:pPr>
              <w:pStyle w:val="TableParagraph"/>
              <w:spacing w:line="271" w:lineRule="auto" w:before="111"/>
              <w:ind w:left="163" w:right="242"/>
              <w:jc w:val="both"/>
              <w:rPr>
                <w:sz w:val="17"/>
              </w:rPr>
            </w:pPr>
            <w:r>
              <w:rPr>
                <w:color w:val="58595B"/>
                <w:sz w:val="17"/>
              </w:rPr>
              <w:t>Les coûts peuvent également inclure les installations de lavage des mains et d’approvisionnement en eau potable, ainsi que la sécurisation des latrines et leur adaptation aux problématiques de genre.</w:t>
            </w:r>
          </w:p>
        </w:tc>
      </w:tr>
      <w:tr>
        <w:trPr>
          <w:trHeight w:val="2747"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48808" cy="133350"/>
                  <wp:effectExtent l="0" t="0" r="0" b="0"/>
                  <wp:docPr id="49" name="image25.png" descr=""/>
                  <wp:cNvGraphicFramePr>
                    <a:graphicFrameLocks noChangeAspect="1"/>
                  </wp:cNvGraphicFramePr>
                  <a:graphic>
                    <a:graphicData uri="http://schemas.openxmlformats.org/drawingml/2006/picture">
                      <pic:pic>
                        <pic:nvPicPr>
                          <pic:cNvPr id="50" name="image25.png"/>
                          <pic:cNvPicPr/>
                        </pic:nvPicPr>
                        <pic:blipFill>
                          <a:blip r:embed="rId35" cstate="print"/>
                          <a:stretch>
                            <a:fillRect/>
                          </a:stretch>
                        </pic:blipFill>
                        <pic:spPr>
                          <a:xfrm>
                            <a:off x="0" y="0"/>
                            <a:ext cx="848808"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255"/>
              <w:rPr>
                <w:b/>
                <w:sz w:val="18"/>
              </w:rPr>
            </w:pPr>
            <w:r>
              <w:rPr>
                <w:b/>
                <w:color w:val="58595B"/>
                <w:sz w:val="18"/>
              </w:rPr>
              <w:t>Coût moyen de rénovation d’une salle de classe</w:t>
            </w:r>
          </w:p>
        </w:tc>
        <w:tc>
          <w:tcPr>
            <w:tcW w:w="1839"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3410" w:type="dxa"/>
            <w:gridSpan w:val="2"/>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16"/>
              </w:rPr>
            </w:pPr>
          </w:p>
          <w:p>
            <w:pPr>
              <w:pStyle w:val="TableParagraph"/>
              <w:spacing w:line="271" w:lineRule="auto" w:after="19"/>
              <w:ind w:left="572" w:hanging="227"/>
              <w:rPr>
                <w:sz w:val="17"/>
              </w:rPr>
            </w:pPr>
            <w:r>
              <w:rPr>
                <w:color w:val="58595B"/>
                <w:sz w:val="17"/>
              </w:rPr>
              <w:t>Total des dépenses consacrées à la rénovation des classes d’EPE</w:t>
            </w:r>
          </w:p>
          <w:p>
            <w:pPr>
              <w:pStyle w:val="TableParagraph"/>
              <w:spacing w:line="20" w:lineRule="exact"/>
              <w:ind w:left="367"/>
              <w:rPr>
                <w:rFonts w:ascii="Times New Roman"/>
                <w:sz w:val="2"/>
              </w:rPr>
            </w:pPr>
            <w:r>
              <w:rPr>
                <w:rFonts w:ascii="Times New Roman"/>
                <w:sz w:val="2"/>
              </w:rPr>
              <w:pict>
                <v:group style="width:145pt;height:.25pt;mso-position-horizontal-relative:char;mso-position-vertical-relative:line" coordorigin="0,0" coordsize="2900,5">
                  <v:line style="position:absolute" from="0,3" to="2900,3" stroked="true" strokeweight=".25pt" strokecolor="#58595b">
                    <v:stroke dashstyle="solid"/>
                  </v:line>
                </v:group>
              </w:pict>
            </w:r>
            <w:r>
              <w:rPr>
                <w:rFonts w:ascii="Times New Roman"/>
                <w:sz w:val="2"/>
              </w:rPr>
            </w:r>
          </w:p>
          <w:p>
            <w:pPr>
              <w:pStyle w:val="TableParagraph"/>
              <w:spacing w:before="45"/>
              <w:ind w:left="336"/>
              <w:rPr>
                <w:sz w:val="17"/>
              </w:rPr>
            </w:pPr>
            <w:r>
              <w:rPr>
                <w:color w:val="58595B"/>
                <w:sz w:val="17"/>
              </w:rPr>
              <w:t>Nombre de classes d’EPE rénovées</w:t>
            </w:r>
          </w:p>
        </w:tc>
        <w:tc>
          <w:tcPr>
            <w:tcW w:w="1997"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5"/>
              </w:rPr>
            </w:pPr>
          </w:p>
          <w:p>
            <w:pPr>
              <w:pStyle w:val="TableParagraph"/>
              <w:spacing w:line="271" w:lineRule="auto"/>
              <w:ind w:left="158" w:right="626"/>
              <w:rPr>
                <w:sz w:val="17"/>
              </w:rPr>
            </w:pPr>
            <w:r>
              <w:rPr>
                <w:color w:val="58595B"/>
                <w:sz w:val="17"/>
              </w:rPr>
              <w:t>Service des infrastructures du ministère de l’éducation/des finances</w:t>
            </w:r>
          </w:p>
          <w:p>
            <w:pPr>
              <w:pStyle w:val="TableParagraph"/>
              <w:spacing w:before="109"/>
              <w:ind w:left="158"/>
              <w:rPr>
                <w:i/>
                <w:sz w:val="17"/>
              </w:rPr>
            </w:pPr>
            <w:r>
              <w:rPr>
                <w:i/>
                <w:color w:val="58595B"/>
                <w:sz w:val="17"/>
              </w:rPr>
              <w:t>et/ou</w:t>
            </w:r>
          </w:p>
          <w:p>
            <w:pPr>
              <w:pStyle w:val="TableParagraph"/>
              <w:spacing w:line="271" w:lineRule="auto" w:before="138"/>
              <w:ind w:left="158" w:right="267"/>
              <w:rPr>
                <w:sz w:val="17"/>
              </w:rPr>
            </w:pPr>
            <w:r>
              <w:rPr>
                <w:color w:val="58595B"/>
                <w:sz w:val="17"/>
              </w:rPr>
              <w:t>Services des achats du ministère de l’éducation/des finances</w:t>
            </w:r>
          </w:p>
        </w:tc>
        <w:tc>
          <w:tcPr>
            <w:tcW w:w="5189"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71" w:lineRule="auto" w:before="119"/>
              <w:ind w:left="163" w:right="308"/>
              <w:rPr>
                <w:sz w:val="17"/>
              </w:rPr>
            </w:pPr>
            <w:r>
              <w:rPr>
                <w:color w:val="58595B"/>
                <w:sz w:val="17"/>
              </w:rPr>
              <w:t>Cet indicateur aide à chiffrer le coût des travaux lorsqu’un grand nombre de classes sont susceptibles de nécessiter</w:t>
            </w:r>
            <w:r>
              <w:rPr>
                <w:color w:val="58595B"/>
                <w:spacing w:val="-27"/>
                <w:sz w:val="17"/>
              </w:rPr>
              <w:t> </w:t>
            </w:r>
            <w:r>
              <w:rPr>
                <w:color w:val="58595B"/>
                <w:sz w:val="17"/>
              </w:rPr>
              <w:t>une rénovation (notamment en l’absence de garantie d’un budget d’entretien ou en situation de</w:t>
            </w:r>
            <w:r>
              <w:rPr>
                <w:color w:val="58595B"/>
                <w:spacing w:val="-6"/>
                <w:sz w:val="17"/>
              </w:rPr>
              <w:t> </w:t>
            </w:r>
            <w:r>
              <w:rPr>
                <w:color w:val="58595B"/>
                <w:sz w:val="17"/>
              </w:rPr>
              <w:t>crise).</w:t>
            </w:r>
          </w:p>
          <w:p>
            <w:pPr>
              <w:pStyle w:val="TableParagraph"/>
              <w:spacing w:line="271" w:lineRule="auto" w:before="110"/>
              <w:ind w:left="163" w:right="308"/>
              <w:rPr>
                <w:sz w:val="17"/>
              </w:rPr>
            </w:pPr>
            <w:r>
              <w:rPr>
                <w:color w:val="58595B"/>
                <w:sz w:val="17"/>
              </w:rPr>
              <w:t>Le budget de rénovation peut être considéré comme un investissement initial destiné à mettre les salles de classe en conformité avec les normes ou les objectifs stratégiques fixés. Lorsque l’entretien courant est insuffisant ou inexistant, les dépenses de rénovation peuvent également être inscrites au budget ordinaire (un certain pourcentage de classes devant alors être rénovées chaque</w:t>
            </w:r>
            <w:r>
              <w:rPr>
                <w:color w:val="58595B"/>
                <w:spacing w:val="-4"/>
                <w:sz w:val="17"/>
              </w:rPr>
              <w:t> </w:t>
            </w:r>
            <w:r>
              <w:rPr>
                <w:color w:val="58595B"/>
                <w:sz w:val="17"/>
              </w:rPr>
              <w:t>année).</w:t>
            </w:r>
          </w:p>
        </w:tc>
      </w:tr>
      <w:tr>
        <w:trPr>
          <w:trHeight w:val="873" w:hRule="atLeast"/>
        </w:trPr>
        <w:tc>
          <w:tcPr>
            <w:tcW w:w="14358" w:type="dxa"/>
            <w:gridSpan w:val="6"/>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1" w:lineRule="auto" w:before="119"/>
              <w:ind w:left="167" w:right="196"/>
              <w:rPr>
                <w:b/>
                <w:sz w:val="17"/>
              </w:rPr>
            </w:pPr>
            <w:r>
              <w:rPr>
                <w:b/>
                <w:color w:val="58595B"/>
                <w:sz w:val="17"/>
              </w:rPr>
              <w:t>Supports d’apprentissage. </w:t>
            </w:r>
            <w:r>
              <w:rPr>
                <w:color w:val="58595B"/>
                <w:sz w:val="17"/>
              </w:rPr>
              <w:t>Ce poste constitue souvent le troisième facteur de coût dans les stratégies de développement ou d’amélioration du sous-secteur de l’EPE. Contrairement aux autres sous-secteurs dans lesquels les supports d’apprentissage sont généralement constitués de manuels scolaires qui sont comptabilisés individuellement et comparés au nombre d’élèves par école ou par classe, les supports d’apprentissage de l’EPE prennent souvent la forme de kits adaptés à une seule classe</w:t>
            </w:r>
            <w:r>
              <w:rPr>
                <w:b/>
                <w:color w:val="58595B"/>
                <w:sz w:val="17"/>
              </w:rPr>
              <w:t>.</w:t>
            </w:r>
          </w:p>
        </w:tc>
      </w:tr>
      <w:tr>
        <w:trPr>
          <w:trHeight w:val="1776" w:hRule="atLeast"/>
        </w:trPr>
        <w:tc>
          <w:tcPr>
            <w:tcW w:w="1923" w:type="dxa"/>
            <w:vMerge w:val="restart"/>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861540" cy="135350"/>
                  <wp:effectExtent l="0" t="0" r="0" b="0"/>
                  <wp:docPr id="51" name="image26.png" descr=""/>
                  <wp:cNvGraphicFramePr>
                    <a:graphicFrameLocks noChangeAspect="1"/>
                  </wp:cNvGraphicFramePr>
                  <a:graphic>
                    <a:graphicData uri="http://schemas.openxmlformats.org/drawingml/2006/picture">
                      <pic:pic>
                        <pic:nvPicPr>
                          <pic:cNvPr id="52" name="image26.png"/>
                          <pic:cNvPicPr/>
                        </pic:nvPicPr>
                        <pic:blipFill>
                          <a:blip r:embed="rId36" cstate="print"/>
                          <a:stretch>
                            <a:fillRect/>
                          </a:stretch>
                        </pic:blipFill>
                        <pic:spPr>
                          <a:xfrm>
                            <a:off x="0" y="0"/>
                            <a:ext cx="861540" cy="135350"/>
                          </a:xfrm>
                          <a:prstGeom prst="rect">
                            <a:avLst/>
                          </a:prstGeom>
                        </pic:spPr>
                      </pic:pic>
                    </a:graphicData>
                  </a:graphic>
                </wp:inline>
              </w:drawing>
            </w:r>
            <w:r>
              <w:rPr>
                <w:rFonts w:ascii="Times New Roman"/>
                <w:position w:val="-3"/>
                <w:sz w:val="20"/>
              </w:rPr>
            </w:r>
          </w:p>
          <w:p>
            <w:pPr>
              <w:pStyle w:val="TableParagraph"/>
              <w:spacing w:line="271" w:lineRule="auto" w:before="59"/>
              <w:ind w:left="167" w:right="524"/>
              <w:rPr>
                <w:b/>
                <w:sz w:val="17"/>
              </w:rPr>
            </w:pPr>
            <w:r>
              <w:rPr>
                <w:b/>
                <w:color w:val="58595B"/>
                <w:sz w:val="17"/>
              </w:rPr>
              <w:t>Nombre de kits (complets) de</w:t>
            </w:r>
            <w:r>
              <w:rPr>
                <w:b/>
                <w:color w:val="58595B"/>
                <w:spacing w:val="-2"/>
                <w:sz w:val="17"/>
              </w:rPr>
              <w:t> </w:t>
            </w:r>
            <w:r>
              <w:rPr>
                <w:b/>
                <w:color w:val="58595B"/>
                <w:sz w:val="17"/>
              </w:rPr>
              <w:t>matériel</w:t>
            </w:r>
          </w:p>
          <w:p>
            <w:pPr>
              <w:pStyle w:val="TableParagraph"/>
              <w:spacing w:line="271" w:lineRule="auto"/>
              <w:ind w:left="167" w:right="336"/>
              <w:rPr>
                <w:b/>
                <w:sz w:val="17"/>
              </w:rPr>
            </w:pPr>
            <w:r>
              <w:rPr>
                <w:b/>
                <w:color w:val="58595B"/>
                <w:sz w:val="17"/>
              </w:rPr>
              <w:t>pédagogique par classe</w:t>
            </w:r>
          </w:p>
        </w:tc>
        <w:tc>
          <w:tcPr>
            <w:tcW w:w="1839" w:type="dxa"/>
            <w:vMerge w:val="restart"/>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516" w:type="dxa"/>
            <w:vMerge w:val="restart"/>
            <w:tcBorders>
              <w:top w:val="single" w:sz="12" w:space="0" w:color="FFFFFF"/>
              <w:left w:val="single" w:sz="12" w:space="0" w:color="FFFFFF"/>
              <w:bottom w:val="single" w:sz="12" w:space="0" w:color="FFFFFF"/>
              <w:right w:val="nil"/>
            </w:tcBorders>
            <w:shd w:val="clear" w:color="auto" w:fill="FEEDD2"/>
          </w:tcPr>
          <w:p>
            <w:pPr>
              <w:pStyle w:val="TableParagraph"/>
              <w:rPr>
                <w:rFonts w:ascii="Times New Roman"/>
                <w:sz w:val="16"/>
              </w:rPr>
            </w:pPr>
          </w:p>
        </w:tc>
        <w:tc>
          <w:tcPr>
            <w:tcW w:w="2894" w:type="dxa"/>
            <w:tcBorders>
              <w:top w:val="single" w:sz="12" w:space="0" w:color="FFFFFF"/>
              <w:left w:val="nil"/>
              <w:bottom w:val="single" w:sz="2" w:space="0" w:color="58595B"/>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20" w:lineRule="atLeast" w:before="107"/>
              <w:ind w:left="647" w:right="539" w:hanging="359"/>
              <w:rPr>
                <w:sz w:val="17"/>
              </w:rPr>
            </w:pPr>
            <w:r>
              <w:rPr>
                <w:color w:val="58595B"/>
                <w:sz w:val="17"/>
              </w:rPr>
              <w:t>Nombre de kits de matériel pédagogique</w:t>
            </w:r>
          </w:p>
        </w:tc>
        <w:tc>
          <w:tcPr>
            <w:tcW w:w="1997" w:type="dxa"/>
            <w:vMerge w:val="restart"/>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3"/>
              <w:rPr>
                <w:rFonts w:ascii="Times New Roman"/>
                <w:sz w:val="16"/>
              </w:rPr>
            </w:pPr>
          </w:p>
          <w:p>
            <w:pPr>
              <w:pStyle w:val="TableParagraph"/>
              <w:ind w:left="158"/>
              <w:rPr>
                <w:sz w:val="17"/>
              </w:rPr>
            </w:pPr>
            <w:r>
              <w:rPr>
                <w:color w:val="58595B"/>
                <w:sz w:val="17"/>
              </w:rPr>
              <w:t>SIGE</w:t>
            </w:r>
          </w:p>
        </w:tc>
        <w:tc>
          <w:tcPr>
            <w:tcW w:w="5189" w:type="dxa"/>
            <w:vMerge w:val="restart"/>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line="271" w:lineRule="auto" w:before="119"/>
              <w:ind w:left="163" w:right="298"/>
              <w:rPr>
                <w:sz w:val="17"/>
              </w:rPr>
            </w:pPr>
            <w:r>
              <w:rPr>
                <w:color w:val="58595B"/>
                <w:sz w:val="17"/>
              </w:rPr>
              <w:t>Le nombre de kits par classe est un indicateur de la pénurie de supports d’apprentissage. Il doit idéalement y avoir un kit par classe, mais cet indicateur est souvent inférieur à 1, ce</w:t>
            </w:r>
            <w:r>
              <w:rPr>
                <w:color w:val="58595B"/>
                <w:spacing w:val="-30"/>
                <w:sz w:val="17"/>
              </w:rPr>
              <w:t> </w:t>
            </w:r>
            <w:r>
              <w:rPr>
                <w:color w:val="58595B"/>
                <w:sz w:val="17"/>
              </w:rPr>
              <w:t>qui suggère que plusieurs classes ne disposent pas du matériel adéquat.</w:t>
            </w:r>
          </w:p>
          <w:p>
            <w:pPr>
              <w:pStyle w:val="TableParagraph"/>
              <w:spacing w:line="271" w:lineRule="auto" w:before="110"/>
              <w:ind w:left="163" w:right="174" w:firstLine="47"/>
              <w:rPr>
                <w:sz w:val="17"/>
              </w:rPr>
            </w:pPr>
            <w:r>
              <w:rPr>
                <w:position w:val="-3"/>
              </w:rPr>
              <w:drawing>
                <wp:inline distT="0" distB="0" distL="0" distR="0">
                  <wp:extent cx="647598" cy="138963"/>
                  <wp:effectExtent l="0" t="0" r="0" b="0"/>
                  <wp:docPr id="53" name="image27.png" descr=""/>
                  <wp:cNvGraphicFramePr>
                    <a:graphicFrameLocks noChangeAspect="1"/>
                  </wp:cNvGraphicFramePr>
                  <a:graphic>
                    <a:graphicData uri="http://schemas.openxmlformats.org/drawingml/2006/picture">
                      <pic:pic>
                        <pic:nvPicPr>
                          <pic:cNvPr id="54" name="image27.png"/>
                          <pic:cNvPicPr/>
                        </pic:nvPicPr>
                        <pic:blipFill>
                          <a:blip r:embed="rId37" cstate="print"/>
                          <a:stretch>
                            <a:fillRect/>
                          </a:stretch>
                        </pic:blipFill>
                        <pic:spPr>
                          <a:xfrm>
                            <a:off x="0" y="0"/>
                            <a:ext cx="647598" cy="138963"/>
                          </a:xfrm>
                          <a:prstGeom prst="rect">
                            <a:avLst/>
                          </a:prstGeom>
                        </pic:spPr>
                      </pic:pic>
                    </a:graphicData>
                  </a:graphic>
                </wp:inline>
              </w:drawing>
            </w:r>
            <w:r>
              <w:rPr>
                <w:position w:val="-3"/>
              </w:rPr>
            </w:r>
            <w:r>
              <w:rPr>
                <w:rFonts w:ascii="Times New Roman" w:hAnsi="Times New Roman"/>
                <w:spacing w:val="-3"/>
                <w:sz w:val="20"/>
              </w:rPr>
              <w:t> </w:t>
            </w:r>
            <w:r>
              <w:rPr>
                <w:color w:val="58595B"/>
                <w:sz w:val="17"/>
              </w:rPr>
              <w:t>Il est important de comprendre exactement quelles données sont recueillies dans le SIGE : les écoles déclarent-elles certains supports d’apprentissage, des ensembles complets de matériel pédagogique récent achetés dans le cadre de procédures centralisées, ou des ensembles complets de matériel pédagogique considérés comme adéquats même s’ils ont été produits localement (sur quels critères</w:t>
            </w:r>
            <w:r>
              <w:rPr>
                <w:color w:val="58595B"/>
                <w:spacing w:val="-28"/>
                <w:sz w:val="17"/>
              </w:rPr>
              <w:t> </w:t>
            </w:r>
            <w:r>
              <w:rPr>
                <w:color w:val="58595B"/>
                <w:sz w:val="17"/>
              </w:rPr>
              <w:t>?)</w:t>
            </w:r>
            <w:r>
              <w:rPr>
                <w:color w:val="58595B"/>
                <w:spacing w:val="-2"/>
                <w:sz w:val="17"/>
              </w:rPr>
              <w:t> </w:t>
            </w:r>
            <w:r>
              <w:rPr>
                <w:color w:val="58595B"/>
                <w:sz w:val="17"/>
              </w:rPr>
              <w:t>? </w:t>
            </w:r>
            <w:r>
              <w:rPr>
                <w:color w:val="58595B"/>
                <w:position w:val="-3"/>
                <w:sz w:val="17"/>
              </w:rPr>
              <w:drawing>
                <wp:inline distT="0" distB="0" distL="0" distR="0">
                  <wp:extent cx="647598" cy="138963"/>
                  <wp:effectExtent l="0" t="0" r="0" b="0"/>
                  <wp:docPr id="55" name="image28.png" descr=""/>
                  <wp:cNvGraphicFramePr>
                    <a:graphicFrameLocks noChangeAspect="1"/>
                  </wp:cNvGraphicFramePr>
                  <a:graphic>
                    <a:graphicData uri="http://schemas.openxmlformats.org/drawingml/2006/picture">
                      <pic:pic>
                        <pic:nvPicPr>
                          <pic:cNvPr id="56" name="image28.png"/>
                          <pic:cNvPicPr/>
                        </pic:nvPicPr>
                        <pic:blipFill>
                          <a:blip r:embed="rId38" cstate="print"/>
                          <a:stretch>
                            <a:fillRect/>
                          </a:stretch>
                        </pic:blipFill>
                        <pic:spPr>
                          <a:xfrm>
                            <a:off x="0" y="0"/>
                            <a:ext cx="647598" cy="138963"/>
                          </a:xfrm>
                          <a:prstGeom prst="rect">
                            <a:avLst/>
                          </a:prstGeom>
                        </pic:spPr>
                      </pic:pic>
                    </a:graphicData>
                  </a:graphic>
                </wp:inline>
              </w:drawing>
            </w:r>
            <w:r>
              <w:rPr>
                <w:color w:val="58595B"/>
                <w:position w:val="-3"/>
                <w:sz w:val="17"/>
              </w:rPr>
            </w:r>
            <w:r>
              <w:rPr>
                <w:rFonts w:ascii="Times New Roman" w:hAnsi="Times New Roman"/>
                <w:color w:val="58595B"/>
                <w:spacing w:val="4"/>
                <w:sz w:val="17"/>
              </w:rPr>
              <w:t> </w:t>
            </w:r>
            <w:r>
              <w:rPr>
                <w:color w:val="58595B"/>
                <w:sz w:val="17"/>
              </w:rPr>
              <w:t>Il convient de bien comprendre ce qui est mesuré pour interpréter correctement cet</w:t>
            </w:r>
            <w:r>
              <w:rPr>
                <w:color w:val="58595B"/>
                <w:spacing w:val="-6"/>
                <w:sz w:val="17"/>
              </w:rPr>
              <w:t> </w:t>
            </w:r>
            <w:r>
              <w:rPr>
                <w:color w:val="58595B"/>
                <w:sz w:val="17"/>
              </w:rPr>
              <w:t>indicateur.</w:t>
            </w:r>
          </w:p>
        </w:tc>
      </w:tr>
      <w:tr>
        <w:trPr>
          <w:trHeight w:val="1654" w:hRule="atLeast"/>
        </w:trPr>
        <w:tc>
          <w:tcPr>
            <w:tcW w:w="1923" w:type="dxa"/>
            <w:vMerge/>
            <w:tcBorders>
              <w:top w:val="nil"/>
              <w:left w:val="single" w:sz="12" w:space="0" w:color="FFFFFF"/>
              <w:bottom w:val="single" w:sz="12" w:space="0" w:color="FFFFFF"/>
              <w:right w:val="single" w:sz="12" w:space="0" w:color="FFFFFF"/>
            </w:tcBorders>
            <w:shd w:val="clear" w:color="auto" w:fill="FEEDD2"/>
          </w:tcPr>
          <w:p>
            <w:pPr>
              <w:rPr>
                <w:sz w:val="2"/>
                <w:szCs w:val="2"/>
              </w:rPr>
            </w:pPr>
          </w:p>
        </w:tc>
        <w:tc>
          <w:tcPr>
            <w:tcW w:w="1839" w:type="dxa"/>
            <w:vMerge/>
            <w:tcBorders>
              <w:top w:val="nil"/>
              <w:left w:val="single" w:sz="12" w:space="0" w:color="FFFFFF"/>
              <w:bottom w:val="single" w:sz="12" w:space="0" w:color="FFFFFF"/>
              <w:right w:val="single" w:sz="12" w:space="0" w:color="FFFFFF"/>
            </w:tcBorders>
            <w:shd w:val="clear" w:color="auto" w:fill="FEEDD2"/>
          </w:tcPr>
          <w:p>
            <w:pPr>
              <w:rPr>
                <w:sz w:val="2"/>
                <w:szCs w:val="2"/>
              </w:rPr>
            </w:pPr>
          </w:p>
        </w:tc>
        <w:tc>
          <w:tcPr>
            <w:tcW w:w="516" w:type="dxa"/>
            <w:vMerge/>
            <w:tcBorders>
              <w:top w:val="nil"/>
              <w:left w:val="single" w:sz="12" w:space="0" w:color="FFFFFF"/>
              <w:bottom w:val="single" w:sz="12" w:space="0" w:color="FFFFFF"/>
              <w:right w:val="nil"/>
            </w:tcBorders>
            <w:shd w:val="clear" w:color="auto" w:fill="FEEDD2"/>
          </w:tcPr>
          <w:p>
            <w:pPr>
              <w:rPr>
                <w:sz w:val="2"/>
                <w:szCs w:val="2"/>
              </w:rPr>
            </w:pPr>
          </w:p>
        </w:tc>
        <w:tc>
          <w:tcPr>
            <w:tcW w:w="2894" w:type="dxa"/>
            <w:tcBorders>
              <w:top w:val="single" w:sz="2" w:space="0" w:color="58595B"/>
              <w:left w:val="nil"/>
              <w:bottom w:val="single" w:sz="12" w:space="0" w:color="FFFFFF"/>
              <w:right w:val="single" w:sz="12" w:space="0" w:color="FFFFFF"/>
            </w:tcBorders>
            <w:shd w:val="clear" w:color="auto" w:fill="FEEDD2"/>
          </w:tcPr>
          <w:p>
            <w:pPr>
              <w:pStyle w:val="TableParagraph"/>
              <w:spacing w:before="79"/>
              <w:ind w:left="19"/>
              <w:rPr>
                <w:sz w:val="17"/>
              </w:rPr>
            </w:pPr>
            <w:r>
              <w:rPr>
                <w:color w:val="58595B"/>
                <w:sz w:val="17"/>
              </w:rPr>
              <w:t>Nombre de groupes pédagogiques</w:t>
            </w:r>
          </w:p>
        </w:tc>
        <w:tc>
          <w:tcPr>
            <w:tcW w:w="1997" w:type="dxa"/>
            <w:vMerge/>
            <w:tcBorders>
              <w:top w:val="nil"/>
              <w:left w:val="single" w:sz="12" w:space="0" w:color="FFFFFF"/>
              <w:bottom w:val="single" w:sz="12" w:space="0" w:color="FFFFFF"/>
              <w:right w:val="single" w:sz="12" w:space="0" w:color="FFFFFF"/>
            </w:tcBorders>
            <w:shd w:val="clear" w:color="auto" w:fill="FEEDD2"/>
          </w:tcPr>
          <w:p>
            <w:pPr>
              <w:rPr>
                <w:sz w:val="2"/>
                <w:szCs w:val="2"/>
              </w:rPr>
            </w:pPr>
          </w:p>
        </w:tc>
        <w:tc>
          <w:tcPr>
            <w:tcW w:w="5189" w:type="dxa"/>
            <w:vMerge/>
            <w:tcBorders>
              <w:top w:val="nil"/>
              <w:left w:val="single" w:sz="12" w:space="0" w:color="FFFFFF"/>
              <w:bottom w:val="single" w:sz="12" w:space="0" w:color="FFFFFF"/>
              <w:right w:val="single" w:sz="12" w:space="0" w:color="FFFFFF"/>
            </w:tcBorders>
            <w:shd w:val="clear" w:color="auto" w:fill="FEEDD2"/>
          </w:tcPr>
          <w:p>
            <w:pPr>
              <w:rPr>
                <w:sz w:val="2"/>
                <w:szCs w:val="2"/>
              </w:rPr>
            </w:pPr>
          </w:p>
        </w:tc>
      </w:tr>
    </w:tbl>
    <w:p>
      <w:pPr>
        <w:spacing w:after="0"/>
        <w:rPr>
          <w:sz w:val="2"/>
          <w:szCs w:val="2"/>
        </w:rPr>
        <w:sectPr>
          <w:pgSz w:w="15840" w:h="12240" w:orient="landscape"/>
          <w:pgMar w:header="314" w:footer="0" w:top="660" w:bottom="280" w:left="600" w:right="340"/>
        </w:sectPr>
      </w:pPr>
    </w:p>
    <w:p>
      <w:pPr>
        <w:pStyle w:val="BodyText"/>
        <w:spacing w:before="1"/>
        <w:rPr>
          <w:rFonts w:ascii="Times New Roman"/>
          <w:sz w:val="22"/>
        </w:rPr>
      </w:pPr>
    </w:p>
    <w:tbl>
      <w:tblPr>
        <w:tblW w:w="0" w:type="auto"/>
        <w:jc w:val="left"/>
        <w:tblInd w:w="29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839"/>
        <w:gridCol w:w="3402"/>
        <w:gridCol w:w="2003"/>
        <w:gridCol w:w="5188"/>
      </w:tblGrid>
      <w:tr>
        <w:trPr>
          <w:trHeight w:val="491" w:hRule="atLeast"/>
        </w:trPr>
        <w:tc>
          <w:tcPr>
            <w:tcW w:w="1923" w:type="dxa"/>
            <w:tcBorders>
              <w:left w:val="nil"/>
              <w:right w:val="nil"/>
            </w:tcBorders>
          </w:tcPr>
          <w:p>
            <w:pPr>
              <w:pStyle w:val="TableParagraph"/>
              <w:spacing w:before="142"/>
              <w:ind w:left="543"/>
              <w:rPr>
                <w:b/>
                <w:sz w:val="18"/>
              </w:rPr>
            </w:pPr>
            <w:r>
              <w:rPr>
                <w:b/>
                <w:color w:val="58595B"/>
                <w:sz w:val="18"/>
              </w:rPr>
              <w:t>Indicateur</w:t>
            </w:r>
          </w:p>
        </w:tc>
        <w:tc>
          <w:tcPr>
            <w:tcW w:w="1839" w:type="dxa"/>
            <w:tcBorders>
              <w:left w:val="nil"/>
              <w:right w:val="nil"/>
            </w:tcBorders>
          </w:tcPr>
          <w:p>
            <w:pPr>
              <w:pStyle w:val="TableParagraph"/>
              <w:spacing w:before="142"/>
              <w:ind w:left="530"/>
              <w:rPr>
                <w:b/>
                <w:sz w:val="18"/>
              </w:rPr>
            </w:pPr>
            <w:r>
              <w:rPr>
                <w:b/>
                <w:color w:val="58595B"/>
                <w:sz w:val="18"/>
              </w:rPr>
              <w:t>Variantes</w:t>
            </w:r>
          </w:p>
        </w:tc>
        <w:tc>
          <w:tcPr>
            <w:tcW w:w="3402" w:type="dxa"/>
            <w:tcBorders>
              <w:left w:val="nil"/>
              <w:right w:val="nil"/>
            </w:tcBorders>
          </w:tcPr>
          <w:p>
            <w:pPr>
              <w:pStyle w:val="TableParagraph"/>
              <w:spacing w:before="142"/>
              <w:ind w:left="1271" w:right="1249"/>
              <w:jc w:val="center"/>
              <w:rPr>
                <w:b/>
                <w:sz w:val="18"/>
              </w:rPr>
            </w:pPr>
            <w:r>
              <w:rPr>
                <w:b/>
                <w:color w:val="58595B"/>
                <w:sz w:val="18"/>
              </w:rPr>
              <w:t>Définition</w:t>
            </w:r>
          </w:p>
        </w:tc>
        <w:tc>
          <w:tcPr>
            <w:tcW w:w="2003" w:type="dxa"/>
            <w:tcBorders>
              <w:left w:val="nil"/>
              <w:right w:val="nil"/>
            </w:tcBorders>
          </w:tcPr>
          <w:p>
            <w:pPr>
              <w:pStyle w:val="TableParagraph"/>
              <w:spacing w:line="232" w:lineRule="auto" w:before="47"/>
              <w:ind w:left="57" w:right="15" w:firstLine="409"/>
              <w:rPr>
                <w:b/>
                <w:sz w:val="18"/>
              </w:rPr>
            </w:pPr>
            <w:r>
              <w:rPr>
                <w:b/>
                <w:color w:val="58595B"/>
                <w:sz w:val="18"/>
              </w:rPr>
              <w:t>Source(s) de données potentielle(s)</w:t>
            </w:r>
          </w:p>
        </w:tc>
        <w:tc>
          <w:tcPr>
            <w:tcW w:w="5188" w:type="dxa"/>
            <w:tcBorders>
              <w:left w:val="nil"/>
              <w:right w:val="nil"/>
            </w:tcBorders>
          </w:tcPr>
          <w:p>
            <w:pPr>
              <w:pStyle w:val="TableParagraph"/>
              <w:spacing w:before="142"/>
              <w:ind w:left="2008" w:right="1988"/>
              <w:jc w:val="center"/>
              <w:rPr>
                <w:b/>
                <w:sz w:val="18"/>
              </w:rPr>
            </w:pPr>
            <w:r>
              <w:rPr>
                <w:b/>
                <w:color w:val="58595B"/>
                <w:sz w:val="18"/>
              </w:rPr>
              <w:t>Observations</w:t>
            </w:r>
          </w:p>
        </w:tc>
      </w:tr>
      <w:tr>
        <w:trPr>
          <w:trHeight w:val="2236" w:hRule="atLeast"/>
        </w:trPr>
        <w:tc>
          <w:tcPr>
            <w:tcW w:w="1923" w:type="dxa"/>
            <w:tcBorders>
              <w:left w:val="single" w:sz="12" w:space="0" w:color="FFFFFF"/>
              <w:bottom w:val="single" w:sz="12" w:space="0" w:color="FFFFFF"/>
              <w:right w:val="single" w:sz="12" w:space="0" w:color="FFFFFF"/>
            </w:tcBorders>
            <w:shd w:val="clear" w:color="auto" w:fill="FEEDD2"/>
          </w:tcPr>
          <w:p>
            <w:pPr>
              <w:pStyle w:val="TableParagraph"/>
              <w:spacing w:before="7"/>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48808" cy="133350"/>
                  <wp:effectExtent l="0" t="0" r="0" b="0"/>
                  <wp:docPr id="57" name="image29.png" descr=""/>
                  <wp:cNvGraphicFramePr>
                    <a:graphicFrameLocks noChangeAspect="1"/>
                  </wp:cNvGraphicFramePr>
                  <a:graphic>
                    <a:graphicData uri="http://schemas.openxmlformats.org/drawingml/2006/picture">
                      <pic:pic>
                        <pic:nvPicPr>
                          <pic:cNvPr id="58" name="image29.png"/>
                          <pic:cNvPicPr/>
                        </pic:nvPicPr>
                        <pic:blipFill>
                          <a:blip r:embed="rId39" cstate="print"/>
                          <a:stretch>
                            <a:fillRect/>
                          </a:stretch>
                        </pic:blipFill>
                        <pic:spPr>
                          <a:xfrm>
                            <a:off x="0" y="0"/>
                            <a:ext cx="848808"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66"/>
              <w:rPr>
                <w:b/>
                <w:sz w:val="18"/>
              </w:rPr>
            </w:pPr>
            <w:r>
              <w:rPr>
                <w:b/>
                <w:color w:val="58595B"/>
                <w:sz w:val="18"/>
              </w:rPr>
              <w:t>Coût unitaire d’un kit de matériel pédagogique</w:t>
            </w:r>
          </w:p>
        </w:tc>
        <w:tc>
          <w:tcPr>
            <w:tcW w:w="1839"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6"/>
              </w:rPr>
            </w:pPr>
          </w:p>
        </w:tc>
        <w:tc>
          <w:tcPr>
            <w:tcW w:w="3402"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9"/>
              <w:rPr>
                <w:rFonts w:ascii="Times New Roman"/>
                <w:sz w:val="16"/>
              </w:rPr>
            </w:pPr>
          </w:p>
          <w:p>
            <w:pPr>
              <w:pStyle w:val="TableParagraph"/>
              <w:ind w:left="21"/>
              <w:jc w:val="center"/>
              <w:rPr>
                <w:sz w:val="17"/>
              </w:rPr>
            </w:pPr>
            <w:r>
              <w:rPr>
                <w:color w:val="58595B"/>
                <w:sz w:val="17"/>
              </w:rPr>
              <w:t>Coût d’un kit de matériel pédagogique</w:t>
            </w:r>
          </w:p>
        </w:tc>
        <w:tc>
          <w:tcPr>
            <w:tcW w:w="2003" w:type="dxa"/>
            <w:tcBorders>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spacing w:before="9"/>
              <w:rPr>
                <w:rFonts w:ascii="Times New Roman"/>
                <w:sz w:val="23"/>
              </w:rPr>
            </w:pPr>
          </w:p>
          <w:p>
            <w:pPr>
              <w:pStyle w:val="TableParagraph"/>
              <w:ind w:left="165"/>
              <w:rPr>
                <w:sz w:val="17"/>
              </w:rPr>
            </w:pPr>
            <w:r>
              <w:rPr>
                <w:color w:val="58595B"/>
                <w:sz w:val="17"/>
              </w:rPr>
              <w:t>Service des achats</w:t>
            </w:r>
          </w:p>
          <w:p>
            <w:pPr>
              <w:pStyle w:val="TableParagraph"/>
              <w:spacing w:before="138"/>
              <w:ind w:left="165"/>
              <w:rPr>
                <w:i/>
                <w:sz w:val="17"/>
              </w:rPr>
            </w:pPr>
            <w:r>
              <w:rPr>
                <w:i/>
                <w:color w:val="58595B"/>
                <w:sz w:val="17"/>
              </w:rPr>
              <w:t>et/ou</w:t>
            </w:r>
          </w:p>
          <w:p>
            <w:pPr>
              <w:pStyle w:val="TableParagraph"/>
              <w:spacing w:before="138"/>
              <w:ind w:left="165"/>
              <w:rPr>
                <w:sz w:val="17"/>
              </w:rPr>
            </w:pPr>
            <w:r>
              <w:rPr>
                <w:color w:val="58595B"/>
                <w:sz w:val="17"/>
              </w:rPr>
              <w:t>Étude de marché</w:t>
            </w:r>
          </w:p>
        </w:tc>
        <w:tc>
          <w:tcPr>
            <w:tcW w:w="5188" w:type="dxa"/>
            <w:tcBorders>
              <w:left w:val="single" w:sz="12" w:space="0" w:color="FFFFFF"/>
              <w:bottom w:val="single" w:sz="12" w:space="0" w:color="FFFFFF"/>
              <w:right w:val="single" w:sz="12" w:space="0" w:color="FFFFFF"/>
            </w:tcBorders>
            <w:shd w:val="clear" w:color="auto" w:fill="FEEDD2"/>
          </w:tcPr>
          <w:p>
            <w:pPr>
              <w:pStyle w:val="TableParagraph"/>
              <w:spacing w:before="10"/>
              <w:rPr>
                <w:rFonts w:ascii="Times New Roman"/>
                <w:sz w:val="16"/>
              </w:rPr>
            </w:pPr>
          </w:p>
          <w:p>
            <w:pPr>
              <w:pStyle w:val="TableParagraph"/>
              <w:spacing w:line="271" w:lineRule="auto"/>
              <w:ind w:left="165" w:right="162"/>
              <w:rPr>
                <w:sz w:val="17"/>
              </w:rPr>
            </w:pPr>
            <w:r>
              <w:rPr>
                <w:color w:val="58595B"/>
                <w:sz w:val="17"/>
              </w:rPr>
              <w:t>Le coût d’un kit de matériel pédagogique peut être obtenu en se basant sur les achats précédents ou en réalisant une estimation à partir d’articles similaires. Si ces données ne sont pas disponibles, une étude de marché peut être réalisée.</w:t>
            </w:r>
          </w:p>
          <w:p>
            <w:pPr>
              <w:pStyle w:val="TableParagraph"/>
              <w:spacing w:line="271" w:lineRule="auto" w:before="110"/>
              <w:ind w:left="165" w:right="201"/>
              <w:rPr>
                <w:sz w:val="17"/>
              </w:rPr>
            </w:pPr>
            <w:r>
              <w:rPr>
                <w:color w:val="58595B"/>
                <w:sz w:val="17"/>
              </w:rPr>
              <w:t>Comme pour la construction, il peut être intéressant d’examiner et de comparer les différents modes d’achat (centralisé, décentralisé, communautaire, humanitaire, etc.), car ceux-ci auront probablement des coûts différents.</w:t>
            </w:r>
          </w:p>
        </w:tc>
      </w:tr>
      <w:tr>
        <w:trPr>
          <w:trHeight w:val="921" w:hRule="atLeast"/>
        </w:trPr>
        <w:tc>
          <w:tcPr>
            <w:tcW w:w="14355"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ight="180"/>
              <w:rPr>
                <w:sz w:val="18"/>
              </w:rPr>
            </w:pPr>
            <w:r>
              <w:rPr>
                <w:b/>
                <w:color w:val="58595B"/>
                <w:sz w:val="18"/>
              </w:rPr>
              <w:t>Dépenses sociales</w:t>
            </w:r>
            <w:r>
              <w:rPr>
                <w:color w:val="58595B"/>
                <w:sz w:val="18"/>
              </w:rPr>
              <w:t>. Dans de nombreux contextes, la prestation de services d’EPE inclut d’autres services qui vont au-delà des aspects strictement éducatifs (restauration scolaire, nutrition, services de santé essentiels, etc.). Selon leur échelle et leur coût, ces services peuvent représenter une part importante des dépenses publiques consacrées à l’EPE.</w:t>
            </w:r>
          </w:p>
        </w:tc>
      </w:tr>
      <w:tr>
        <w:trPr>
          <w:trHeight w:val="2534"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848808" cy="133350"/>
                  <wp:effectExtent l="0" t="0" r="0" b="0"/>
                  <wp:docPr id="59" name="image30.png" descr=""/>
                  <wp:cNvGraphicFramePr>
                    <a:graphicFrameLocks noChangeAspect="1"/>
                  </wp:cNvGraphicFramePr>
                  <a:graphic>
                    <a:graphicData uri="http://schemas.openxmlformats.org/drawingml/2006/picture">
                      <pic:pic>
                        <pic:nvPicPr>
                          <pic:cNvPr id="60" name="image30.png"/>
                          <pic:cNvPicPr/>
                        </pic:nvPicPr>
                        <pic:blipFill>
                          <a:blip r:embed="rId40" cstate="print"/>
                          <a:stretch>
                            <a:fillRect/>
                          </a:stretch>
                        </pic:blipFill>
                        <pic:spPr>
                          <a:xfrm>
                            <a:off x="0" y="0"/>
                            <a:ext cx="848808"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515"/>
              <w:rPr>
                <w:b/>
                <w:sz w:val="18"/>
              </w:rPr>
            </w:pPr>
            <w:r>
              <w:rPr>
                <w:b/>
                <w:color w:val="58595B"/>
                <w:sz w:val="18"/>
              </w:rPr>
              <w:t>Coût unitaire des dépenses sociales</w:t>
            </w:r>
          </w:p>
        </w:tc>
        <w:tc>
          <w:tcPr>
            <w:tcW w:w="1839"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20"/>
              </w:rPr>
            </w:pPr>
          </w:p>
          <w:p>
            <w:pPr>
              <w:pStyle w:val="TableParagraph"/>
              <w:ind w:left="166"/>
              <w:rPr>
                <w:sz w:val="17"/>
              </w:rPr>
            </w:pPr>
            <w:r>
              <w:rPr>
                <w:color w:val="58595B"/>
                <w:sz w:val="17"/>
              </w:rPr>
              <w:t>Par type de service</w:t>
            </w:r>
          </w:p>
          <w:p>
            <w:pPr>
              <w:pStyle w:val="TableParagraph"/>
              <w:spacing w:before="25"/>
              <w:ind w:left="166"/>
              <w:rPr>
                <w:sz w:val="17"/>
              </w:rPr>
            </w:pPr>
            <w:r>
              <w:rPr>
                <w:color w:val="58595B"/>
                <w:sz w:val="17"/>
              </w:rPr>
              <w:t>fourni</w:t>
            </w:r>
          </w:p>
        </w:tc>
        <w:tc>
          <w:tcPr>
            <w:tcW w:w="3402"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tabs>
                <w:tab w:pos="334" w:val="left" w:leader="none"/>
              </w:tabs>
              <w:spacing w:line="271" w:lineRule="auto" w:before="121"/>
              <w:ind w:left="572" w:right="31" w:hanging="519"/>
              <w:rPr>
                <w:sz w:val="17"/>
              </w:rPr>
            </w:pPr>
            <w:r>
              <w:rPr>
                <w:rFonts w:ascii="Times New Roman" w:hAnsi="Times New Roman"/>
                <w:color w:val="58595B"/>
                <w:sz w:val="17"/>
                <w:u w:val="single" w:color="000000"/>
              </w:rPr>
              <w:t> </w:t>
              <w:tab/>
            </w:r>
            <w:r>
              <w:rPr>
                <w:color w:val="58595B"/>
                <w:spacing w:val="-5"/>
                <w:sz w:val="17"/>
                <w:u w:val="single" w:color="000000"/>
              </w:rPr>
              <w:t>Total </w:t>
            </w:r>
            <w:r>
              <w:rPr>
                <w:color w:val="58595B"/>
                <w:sz w:val="17"/>
                <w:u w:val="single" w:color="000000"/>
              </w:rPr>
              <w:t>des dépenses sociales dans l’EPE</w:t>
            </w:r>
            <w:r>
              <w:rPr>
                <w:color w:val="58595B"/>
                <w:sz w:val="17"/>
              </w:rPr>
              <w:t> Nombre de bénéficiaires parmi</w:t>
            </w:r>
            <w:r>
              <w:rPr>
                <w:color w:val="58595B"/>
                <w:spacing w:val="-16"/>
                <w:sz w:val="17"/>
              </w:rPr>
              <w:t> </w:t>
            </w:r>
            <w:r>
              <w:rPr>
                <w:color w:val="58595B"/>
                <w:sz w:val="17"/>
              </w:rPr>
              <w:t>les</w:t>
            </w:r>
          </w:p>
          <w:p>
            <w:pPr>
              <w:pStyle w:val="TableParagraph"/>
              <w:spacing w:line="194" w:lineRule="exact"/>
              <w:ind w:left="1101"/>
              <w:rPr>
                <w:sz w:val="17"/>
              </w:rPr>
            </w:pPr>
            <w:r>
              <w:rPr>
                <w:color w:val="58595B"/>
                <w:sz w:val="17"/>
              </w:rPr>
              <w:t>élèves de l’EPE</w:t>
            </w:r>
          </w:p>
        </w:tc>
        <w:tc>
          <w:tcPr>
            <w:tcW w:w="2003"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71" w:lineRule="auto" w:before="162"/>
              <w:ind w:left="165" w:right="332"/>
              <w:rPr>
                <w:sz w:val="17"/>
              </w:rPr>
            </w:pPr>
            <w:r>
              <w:rPr>
                <w:color w:val="58595B"/>
                <w:sz w:val="17"/>
              </w:rPr>
              <w:t>Direction financière du ministère de l’éducation</w:t>
            </w:r>
          </w:p>
          <w:p>
            <w:pPr>
              <w:pStyle w:val="TableParagraph"/>
              <w:spacing w:before="110"/>
              <w:ind w:left="165"/>
              <w:rPr>
                <w:sz w:val="17"/>
              </w:rPr>
            </w:pPr>
            <w:r>
              <w:rPr>
                <w:color w:val="58595B"/>
                <w:sz w:val="17"/>
              </w:rPr>
              <w:t>SIGE</w:t>
            </w:r>
          </w:p>
        </w:tc>
        <w:tc>
          <w:tcPr>
            <w:tcW w:w="5188" w:type="dxa"/>
            <w:tcBorders>
              <w:top w:val="single" w:sz="12" w:space="0" w:color="FFFFFF"/>
              <w:left w:val="single" w:sz="12" w:space="0" w:color="FFFFFF"/>
              <w:bottom w:val="single" w:sz="12" w:space="0" w:color="FFFFFF"/>
              <w:right w:val="single" w:sz="12" w:space="0" w:color="FFFFFF"/>
            </w:tcBorders>
            <w:shd w:val="clear" w:color="auto" w:fill="FEEDD2"/>
          </w:tcPr>
          <w:p>
            <w:pPr>
              <w:pStyle w:val="TableParagraph"/>
              <w:spacing w:before="2"/>
              <w:rPr>
                <w:rFonts w:ascii="Times New Roman"/>
                <w:sz w:val="20"/>
              </w:rPr>
            </w:pPr>
          </w:p>
          <w:p>
            <w:pPr>
              <w:pStyle w:val="TableParagraph"/>
              <w:spacing w:line="271" w:lineRule="auto" w:before="1"/>
              <w:ind w:left="165" w:right="144"/>
              <w:rPr>
                <w:sz w:val="17"/>
              </w:rPr>
            </w:pPr>
            <w:r>
              <w:rPr>
                <w:color w:val="58595B"/>
                <w:sz w:val="17"/>
              </w:rPr>
              <w:t>Il convient d’éviter la double comptabilisation des élèves lorsque plusieurs services sociaux sont envisagés, lorsque plusieurs partenaires fournissent des services similaires dans la même zone cible, etc.</w:t>
            </w:r>
          </w:p>
          <w:p>
            <w:pPr>
              <w:pStyle w:val="TableParagraph"/>
              <w:spacing w:line="261" w:lineRule="auto" w:before="109"/>
              <w:ind w:left="165" w:right="286"/>
              <w:rPr>
                <w:sz w:val="17"/>
              </w:rPr>
            </w:pPr>
            <w:r>
              <w:rPr>
                <w:color w:val="58595B"/>
                <w:sz w:val="17"/>
              </w:rPr>
              <w:t>Il faut également faire preuve de vigilance lorsque les services sociaux sont fournis dans des structures d’EPE mais que leur financement relève d’autres ministères</w:t>
            </w:r>
            <w:r>
              <w:rPr>
                <w:color w:val="58595B"/>
                <w:spacing w:val="-14"/>
                <w:sz w:val="17"/>
              </w:rPr>
              <w:t> </w:t>
            </w:r>
            <w:r>
              <w:rPr>
                <w:color w:val="58595B"/>
                <w:sz w:val="17"/>
              </w:rPr>
              <w:t>ou</w:t>
            </w:r>
            <w:r>
              <w:rPr>
                <w:color w:val="58595B"/>
                <w:spacing w:val="-3"/>
                <w:sz w:val="17"/>
              </w:rPr>
              <w:t> </w:t>
            </w:r>
            <w:r>
              <w:rPr>
                <w:color w:val="58595B"/>
                <w:sz w:val="17"/>
              </w:rPr>
              <w:t>acteurs. </w:t>
            </w:r>
            <w:r>
              <w:rPr>
                <w:color w:val="58595B"/>
                <w:position w:val="-3"/>
                <w:sz w:val="17"/>
              </w:rPr>
              <w:drawing>
                <wp:inline distT="0" distB="0" distL="0" distR="0">
                  <wp:extent cx="527964" cy="139026"/>
                  <wp:effectExtent l="0" t="0" r="0" b="0"/>
                  <wp:docPr id="61" name="image31.png" descr=""/>
                  <wp:cNvGraphicFramePr>
                    <a:graphicFrameLocks noChangeAspect="1"/>
                  </wp:cNvGraphicFramePr>
                  <a:graphic>
                    <a:graphicData uri="http://schemas.openxmlformats.org/drawingml/2006/picture">
                      <pic:pic>
                        <pic:nvPicPr>
                          <pic:cNvPr id="62" name="image31.png"/>
                          <pic:cNvPicPr/>
                        </pic:nvPicPr>
                        <pic:blipFill>
                          <a:blip r:embed="rId41" cstate="print"/>
                          <a:stretch>
                            <a:fillRect/>
                          </a:stretch>
                        </pic:blipFill>
                        <pic:spPr>
                          <a:xfrm>
                            <a:off x="0" y="0"/>
                            <a:ext cx="527964" cy="139026"/>
                          </a:xfrm>
                          <a:prstGeom prst="rect">
                            <a:avLst/>
                          </a:prstGeom>
                        </pic:spPr>
                      </pic:pic>
                    </a:graphicData>
                  </a:graphic>
                </wp:inline>
              </w:drawing>
            </w:r>
            <w:r>
              <w:rPr>
                <w:color w:val="58595B"/>
                <w:position w:val="-3"/>
                <w:sz w:val="17"/>
              </w:rPr>
            </w:r>
            <w:r>
              <w:rPr>
                <w:rFonts w:ascii="Times New Roman" w:hAnsi="Times New Roman"/>
                <w:color w:val="58595B"/>
                <w:position w:val="-3"/>
                <w:sz w:val="17"/>
              </w:rPr>
              <w:t> </w:t>
            </w:r>
            <w:r>
              <w:rPr>
                <w:color w:val="58595B"/>
                <w:sz w:val="17"/>
              </w:rPr>
              <w:t>Vaccination assurée par le ministère de la santé, soutien psychosocial assuré par le ministère de la protection</w:t>
            </w:r>
            <w:r>
              <w:rPr>
                <w:color w:val="58595B"/>
                <w:spacing w:val="-29"/>
                <w:sz w:val="17"/>
              </w:rPr>
              <w:t> </w:t>
            </w:r>
            <w:r>
              <w:rPr>
                <w:color w:val="58595B"/>
                <w:sz w:val="17"/>
              </w:rPr>
              <w:t>sociale.</w:t>
            </w:r>
          </w:p>
        </w:tc>
      </w:tr>
      <w:tr>
        <w:trPr>
          <w:trHeight w:val="681" w:hRule="atLeast"/>
        </w:trPr>
        <w:tc>
          <w:tcPr>
            <w:tcW w:w="14355" w:type="dxa"/>
            <w:gridSpan w:val="5"/>
            <w:tcBorders>
              <w:top w:val="single" w:sz="12" w:space="0" w:color="FFFFFF"/>
              <w:left w:val="single" w:sz="12" w:space="0" w:color="FFFFFF"/>
              <w:bottom w:val="single" w:sz="12" w:space="0" w:color="FFFFFF"/>
              <w:right w:val="single" w:sz="12" w:space="0" w:color="FFFFFF"/>
            </w:tcBorders>
            <w:shd w:val="clear" w:color="auto" w:fill="EFEFF0"/>
          </w:tcPr>
          <w:p>
            <w:pPr>
              <w:pStyle w:val="TableParagraph"/>
              <w:spacing w:line="278" w:lineRule="auto" w:before="117"/>
              <w:ind w:left="167" w:right="180"/>
              <w:rPr>
                <w:sz w:val="18"/>
              </w:rPr>
            </w:pPr>
            <w:r>
              <w:rPr>
                <w:b/>
                <w:color w:val="58595B"/>
                <w:sz w:val="18"/>
              </w:rPr>
              <w:t>Coûts de fonctionnement. </w:t>
            </w:r>
            <w:r>
              <w:rPr>
                <w:color w:val="58595B"/>
                <w:sz w:val="18"/>
              </w:rPr>
              <w:t>Les indicateurs suivants portent sur les coûts qui ne sont pas directement liés aux moyens, mais qui sont essentiels aux activités du sous-secteur. Ils permettent d’établir des projections financières à différents degrés de précision selon les informations disponibles.</w:t>
            </w:r>
          </w:p>
        </w:tc>
      </w:tr>
      <w:tr>
        <w:trPr>
          <w:trHeight w:val="3589"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991285" cy="135350"/>
                  <wp:effectExtent l="0" t="0" r="0" b="0"/>
                  <wp:docPr id="63" name="image32.png" descr=""/>
                  <wp:cNvGraphicFramePr>
                    <a:graphicFrameLocks noChangeAspect="1"/>
                  </wp:cNvGraphicFramePr>
                  <a:graphic>
                    <a:graphicData uri="http://schemas.openxmlformats.org/drawingml/2006/picture">
                      <pic:pic>
                        <pic:nvPicPr>
                          <pic:cNvPr id="64" name="image32.png"/>
                          <pic:cNvPicPr/>
                        </pic:nvPicPr>
                        <pic:blipFill>
                          <a:blip r:embed="rId42" cstate="print"/>
                          <a:stretch>
                            <a:fillRect/>
                          </a:stretch>
                        </pic:blipFill>
                        <pic:spPr>
                          <a:xfrm>
                            <a:off x="0" y="0"/>
                            <a:ext cx="991285"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135"/>
              <w:rPr>
                <w:b/>
                <w:sz w:val="18"/>
              </w:rPr>
            </w:pPr>
            <w:r>
              <w:rPr>
                <w:b/>
                <w:color w:val="58595B"/>
                <w:sz w:val="18"/>
              </w:rPr>
              <w:t>Coût unitaire de la formation initiale d’un enseignant de l’EPE</w:t>
            </w:r>
          </w:p>
        </w:tc>
        <w:tc>
          <w:tcPr>
            <w:tcW w:w="183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71" w:lineRule="auto" w:before="135"/>
              <w:ind w:left="166" w:right="734"/>
              <w:rPr>
                <w:sz w:val="17"/>
              </w:rPr>
            </w:pPr>
            <w:r>
              <w:rPr>
                <w:color w:val="58595B"/>
                <w:sz w:val="17"/>
              </w:rPr>
              <w:t>Par type d’éducateur</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9"/>
              </w:rPr>
            </w:pPr>
          </w:p>
          <w:p>
            <w:pPr>
              <w:pStyle w:val="TableParagraph"/>
              <w:spacing w:line="271" w:lineRule="auto" w:before="1"/>
              <w:ind w:left="463" w:right="440" w:firstLine="1"/>
              <w:jc w:val="center"/>
              <w:rPr>
                <w:sz w:val="17"/>
              </w:rPr>
            </w:pPr>
            <w:r>
              <w:rPr>
                <w:color w:val="58595B"/>
                <w:sz w:val="17"/>
              </w:rPr>
              <w:t>Dépenses liées à la formation initiale des enseignants de l’EPE</w:t>
            </w:r>
          </w:p>
          <w:p>
            <w:pPr>
              <w:pStyle w:val="TableParagraph"/>
              <w:spacing w:before="2"/>
              <w:rPr>
                <w:rFonts w:ascii="Times New Roman"/>
                <w:sz w:val="13"/>
              </w:rPr>
            </w:pPr>
          </w:p>
          <w:p>
            <w:pPr>
              <w:pStyle w:val="TableParagraph"/>
              <w:spacing w:line="20" w:lineRule="exact"/>
              <w:ind w:left="244"/>
              <w:rPr>
                <w:rFonts w:ascii="Times New Roman"/>
                <w:sz w:val="2"/>
              </w:rPr>
            </w:pPr>
            <w:r>
              <w:rPr>
                <w:rFonts w:ascii="Times New Roman"/>
                <w:sz w:val="2"/>
              </w:rPr>
              <w:pict>
                <v:group style="width:145pt;height:.25pt;mso-position-horizontal-relative:char;mso-position-vertical-relative:line" coordorigin="0,0" coordsize="2900,5">
                  <v:line style="position:absolute" from="0,2" to="2900,2" stroked="true" strokeweight=".25pt" strokecolor="#58595b">
                    <v:stroke dashstyle="solid"/>
                  </v:line>
                </v:group>
              </w:pict>
            </w:r>
            <w:r>
              <w:rPr>
                <w:rFonts w:ascii="Times New Roman"/>
                <w:sz w:val="2"/>
              </w:rPr>
            </w:r>
          </w:p>
          <w:p>
            <w:pPr>
              <w:pStyle w:val="TableParagraph"/>
              <w:spacing w:line="271" w:lineRule="auto" w:before="46"/>
              <w:ind w:left="70"/>
              <w:jc w:val="center"/>
              <w:rPr>
                <w:sz w:val="17"/>
              </w:rPr>
            </w:pPr>
            <w:r>
              <w:rPr>
                <w:color w:val="58595B"/>
                <w:sz w:val="17"/>
              </w:rPr>
              <w:t>Nombre d’enseignants en cours de formation initiale</w:t>
            </w:r>
          </w:p>
        </w:tc>
        <w:tc>
          <w:tcPr>
            <w:tcW w:w="200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07"/>
              <w:ind w:left="165" w:right="284"/>
              <w:jc w:val="both"/>
              <w:rPr>
                <w:sz w:val="17"/>
              </w:rPr>
            </w:pPr>
            <w:r>
              <w:rPr>
                <w:color w:val="58595B"/>
                <w:sz w:val="17"/>
              </w:rPr>
              <w:t>Institut de formation des enseignants, ou équivalent</w:t>
            </w:r>
          </w:p>
          <w:p>
            <w:pPr>
              <w:pStyle w:val="TableParagraph"/>
              <w:rPr>
                <w:rFonts w:ascii="Times New Roman"/>
                <w:sz w:val="18"/>
              </w:rPr>
            </w:pPr>
          </w:p>
          <w:p>
            <w:pPr>
              <w:pStyle w:val="TableParagraph"/>
              <w:spacing w:line="271" w:lineRule="auto" w:before="130"/>
              <w:ind w:left="165" w:right="181"/>
              <w:rPr>
                <w:sz w:val="17"/>
              </w:rPr>
            </w:pPr>
            <w:r>
              <w:rPr>
                <w:color w:val="58595B"/>
                <w:sz w:val="17"/>
              </w:rPr>
              <w:t>Ministère de l’éducation, Département de l’enseignement supérieur et Système d’information</w:t>
            </w:r>
          </w:p>
          <w:p>
            <w:pPr>
              <w:pStyle w:val="TableParagraph"/>
              <w:spacing w:line="271" w:lineRule="auto"/>
              <w:ind w:left="165" w:right="436"/>
              <w:rPr>
                <w:sz w:val="17"/>
              </w:rPr>
            </w:pPr>
            <w:r>
              <w:rPr>
                <w:color w:val="58595B"/>
                <w:sz w:val="17"/>
              </w:rPr>
              <w:t>pour la gestion de l’enseignement supérieur</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10"/>
              <w:ind w:left="165" w:right="276"/>
              <w:rPr>
                <w:sz w:val="17"/>
              </w:rPr>
            </w:pPr>
            <w:r>
              <w:rPr>
                <w:color w:val="58595B"/>
                <w:sz w:val="17"/>
              </w:rPr>
              <w:t>Cet indicateur correspond au coût de formation initiale d’un enseignant pour un an. Pour calculer le coût total de formation d’un enseignant, cette valeur doit être multipliée par le nombre d’années de formation selon le contexte.</w:t>
            </w:r>
          </w:p>
          <w:p>
            <w:pPr>
              <w:pStyle w:val="TableParagraph"/>
              <w:spacing w:line="266" w:lineRule="auto" w:before="110"/>
              <w:ind w:left="165" w:right="232"/>
              <w:rPr>
                <w:sz w:val="17"/>
              </w:rPr>
            </w:pPr>
            <w:r>
              <w:rPr>
                <w:color w:val="58595B"/>
                <w:sz w:val="17"/>
              </w:rPr>
              <w:t>Le type et le coût de la formation peuvent varier selon le type d’enseignant   et   le   modèle    de   prestation   de   services   (</w:t>
            </w:r>
            <w:r>
              <w:rPr>
                <w:color w:val="58595B"/>
                <w:position w:val="-3"/>
                <w:sz w:val="17"/>
              </w:rPr>
              <w:drawing>
                <wp:inline distT="0" distB="0" distL="0" distR="0">
                  <wp:extent cx="527964" cy="139026"/>
                  <wp:effectExtent l="0" t="0" r="0" b="0"/>
                  <wp:docPr id="65" name="image33.png" descr=""/>
                  <wp:cNvGraphicFramePr>
                    <a:graphicFrameLocks noChangeAspect="1"/>
                  </wp:cNvGraphicFramePr>
                  <a:graphic>
                    <a:graphicData uri="http://schemas.openxmlformats.org/drawingml/2006/picture">
                      <pic:pic>
                        <pic:nvPicPr>
                          <pic:cNvPr id="66" name="image33.png"/>
                          <pic:cNvPicPr/>
                        </pic:nvPicPr>
                        <pic:blipFill>
                          <a:blip r:embed="rId43" cstate="print"/>
                          <a:stretch>
                            <a:fillRect/>
                          </a:stretch>
                        </pic:blipFill>
                        <pic:spPr>
                          <a:xfrm>
                            <a:off x="0" y="0"/>
                            <a:ext cx="527964" cy="139026"/>
                          </a:xfrm>
                          <a:prstGeom prst="rect">
                            <a:avLst/>
                          </a:prstGeom>
                        </pic:spPr>
                      </pic:pic>
                    </a:graphicData>
                  </a:graphic>
                </wp:inline>
              </w:drawing>
            </w:r>
            <w:r>
              <w:rPr>
                <w:color w:val="58595B"/>
                <w:position w:val="-3"/>
                <w:sz w:val="17"/>
              </w:rPr>
            </w:r>
            <w:r>
              <w:rPr>
                <w:rFonts w:ascii="Times New Roman" w:hAnsi="Times New Roman"/>
                <w:color w:val="58595B"/>
                <w:sz w:val="17"/>
              </w:rPr>
              <w:t> </w:t>
            </w:r>
            <w:r>
              <w:rPr>
                <w:color w:val="58595B"/>
                <w:sz w:val="17"/>
              </w:rPr>
              <w:t>enseignants</w:t>
            </w:r>
            <w:r>
              <w:rPr>
                <w:color w:val="58595B"/>
                <w:spacing w:val="-4"/>
                <w:sz w:val="17"/>
              </w:rPr>
              <w:t> </w:t>
            </w:r>
            <w:r>
              <w:rPr>
                <w:color w:val="58595B"/>
                <w:sz w:val="17"/>
              </w:rPr>
              <w:t>contractuels</w:t>
            </w:r>
            <w:r>
              <w:rPr>
                <w:color w:val="58595B"/>
                <w:spacing w:val="-2"/>
                <w:sz w:val="17"/>
              </w:rPr>
              <w:t> </w:t>
            </w:r>
            <w:r>
              <w:rPr>
                <w:color w:val="58595B"/>
                <w:sz w:val="17"/>
              </w:rPr>
              <w:t>du</w:t>
            </w:r>
            <w:r>
              <w:rPr>
                <w:color w:val="58595B"/>
                <w:spacing w:val="-3"/>
                <w:sz w:val="17"/>
              </w:rPr>
              <w:t> </w:t>
            </w:r>
            <w:r>
              <w:rPr>
                <w:color w:val="58595B"/>
                <w:sz w:val="17"/>
              </w:rPr>
              <w:t>secteur</w:t>
            </w:r>
            <w:r>
              <w:rPr>
                <w:color w:val="58595B"/>
                <w:spacing w:val="-2"/>
                <w:sz w:val="17"/>
              </w:rPr>
              <w:t> </w:t>
            </w:r>
            <w:r>
              <w:rPr>
                <w:color w:val="58595B"/>
                <w:sz w:val="17"/>
              </w:rPr>
              <w:t>formel</w:t>
            </w:r>
            <w:r>
              <w:rPr>
                <w:color w:val="58595B"/>
                <w:spacing w:val="-2"/>
                <w:sz w:val="17"/>
              </w:rPr>
              <w:t> </w:t>
            </w:r>
            <w:r>
              <w:rPr>
                <w:color w:val="58595B"/>
                <w:sz w:val="17"/>
              </w:rPr>
              <w:t>suivant une formation spécialisée dans le domaine de l’EPE dans un établissement public de formation des enseignants ou dans le cadre d’un programme de formation initiale dispensé par l’État, et autres modèles de formation continue/perfectionnement professionnel de préparation à la scolarité sur une durée plus courte de deux</w:t>
            </w:r>
            <w:r>
              <w:rPr>
                <w:color w:val="58595B"/>
                <w:spacing w:val="-3"/>
                <w:sz w:val="17"/>
              </w:rPr>
              <w:t> </w:t>
            </w:r>
            <w:r>
              <w:rPr>
                <w:color w:val="58595B"/>
                <w:sz w:val="17"/>
              </w:rPr>
              <w:t>semaines).</w:t>
            </w:r>
          </w:p>
        </w:tc>
      </w:tr>
    </w:tbl>
    <w:p>
      <w:pPr>
        <w:spacing w:after="0" w:line="266" w:lineRule="auto"/>
        <w:rPr>
          <w:sz w:val="17"/>
        </w:rPr>
        <w:sectPr>
          <w:pgSz w:w="15840" w:h="12240" w:orient="landscape"/>
          <w:pgMar w:header="314" w:footer="0" w:top="660" w:bottom="280" w:left="600" w:right="340"/>
        </w:sectPr>
      </w:pPr>
    </w:p>
    <w:p>
      <w:pPr>
        <w:pStyle w:val="BodyText"/>
        <w:spacing w:before="2"/>
        <w:rPr>
          <w:rFonts w:ascii="Times New Roman"/>
          <w:sz w:val="4"/>
        </w:rPr>
      </w:pPr>
    </w:p>
    <w:tbl>
      <w:tblPr>
        <w:tblW w:w="0" w:type="auto"/>
        <w:jc w:val="left"/>
        <w:tblInd w:w="28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3"/>
        <w:gridCol w:w="1839"/>
        <w:gridCol w:w="3402"/>
        <w:gridCol w:w="2003"/>
        <w:gridCol w:w="5188"/>
      </w:tblGrid>
      <w:tr>
        <w:trPr>
          <w:trHeight w:val="491" w:hRule="atLeast"/>
        </w:trPr>
        <w:tc>
          <w:tcPr>
            <w:tcW w:w="1923" w:type="dxa"/>
            <w:tcBorders>
              <w:left w:val="nil"/>
              <w:right w:val="nil"/>
            </w:tcBorders>
          </w:tcPr>
          <w:p>
            <w:pPr>
              <w:pStyle w:val="TableParagraph"/>
              <w:spacing w:before="142"/>
              <w:ind w:left="543"/>
              <w:rPr>
                <w:b/>
                <w:sz w:val="18"/>
              </w:rPr>
            </w:pPr>
            <w:r>
              <w:rPr>
                <w:b/>
                <w:color w:val="58595B"/>
                <w:sz w:val="18"/>
              </w:rPr>
              <w:t>Indicateur</w:t>
            </w:r>
          </w:p>
        </w:tc>
        <w:tc>
          <w:tcPr>
            <w:tcW w:w="1839" w:type="dxa"/>
            <w:tcBorders>
              <w:left w:val="nil"/>
              <w:right w:val="nil"/>
            </w:tcBorders>
          </w:tcPr>
          <w:p>
            <w:pPr>
              <w:pStyle w:val="TableParagraph"/>
              <w:spacing w:before="142"/>
              <w:ind w:left="530"/>
              <w:rPr>
                <w:b/>
                <w:sz w:val="18"/>
              </w:rPr>
            </w:pPr>
            <w:r>
              <w:rPr>
                <w:b/>
                <w:color w:val="58595B"/>
                <w:sz w:val="18"/>
              </w:rPr>
              <w:t>Variantes</w:t>
            </w:r>
          </w:p>
        </w:tc>
        <w:tc>
          <w:tcPr>
            <w:tcW w:w="3402" w:type="dxa"/>
            <w:tcBorders>
              <w:left w:val="nil"/>
              <w:right w:val="nil"/>
            </w:tcBorders>
          </w:tcPr>
          <w:p>
            <w:pPr>
              <w:pStyle w:val="TableParagraph"/>
              <w:spacing w:before="142"/>
              <w:ind w:left="1271" w:right="1249"/>
              <w:jc w:val="center"/>
              <w:rPr>
                <w:b/>
                <w:sz w:val="18"/>
              </w:rPr>
            </w:pPr>
            <w:r>
              <w:rPr>
                <w:b/>
                <w:color w:val="58595B"/>
                <w:sz w:val="18"/>
              </w:rPr>
              <w:t>Définition</w:t>
            </w:r>
          </w:p>
        </w:tc>
        <w:tc>
          <w:tcPr>
            <w:tcW w:w="2003" w:type="dxa"/>
            <w:tcBorders>
              <w:left w:val="nil"/>
              <w:right w:val="nil"/>
            </w:tcBorders>
          </w:tcPr>
          <w:p>
            <w:pPr>
              <w:pStyle w:val="TableParagraph"/>
              <w:spacing w:line="232" w:lineRule="auto" w:before="47"/>
              <w:ind w:left="57" w:right="15" w:firstLine="409"/>
              <w:rPr>
                <w:b/>
                <w:sz w:val="18"/>
              </w:rPr>
            </w:pPr>
            <w:r>
              <w:rPr>
                <w:b/>
                <w:color w:val="58595B"/>
                <w:sz w:val="18"/>
              </w:rPr>
              <w:t>Source(s) de données potentielle(s)</w:t>
            </w:r>
          </w:p>
        </w:tc>
        <w:tc>
          <w:tcPr>
            <w:tcW w:w="5188" w:type="dxa"/>
            <w:tcBorders>
              <w:left w:val="nil"/>
              <w:right w:val="nil"/>
            </w:tcBorders>
          </w:tcPr>
          <w:p>
            <w:pPr>
              <w:pStyle w:val="TableParagraph"/>
              <w:spacing w:before="142"/>
              <w:ind w:left="2008" w:right="1988"/>
              <w:jc w:val="center"/>
              <w:rPr>
                <w:b/>
                <w:sz w:val="18"/>
              </w:rPr>
            </w:pPr>
            <w:r>
              <w:rPr>
                <w:b/>
                <w:color w:val="58595B"/>
                <w:sz w:val="18"/>
              </w:rPr>
              <w:t>Observations</w:t>
            </w:r>
          </w:p>
        </w:tc>
      </w:tr>
      <w:tr>
        <w:trPr>
          <w:trHeight w:val="2948" w:hRule="atLeast"/>
        </w:trPr>
        <w:tc>
          <w:tcPr>
            <w:tcW w:w="1923"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1839"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3402"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2003"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5188" w:type="dxa"/>
            <w:tcBorders>
              <w:left w:val="single" w:sz="12" w:space="0" w:color="FFFFFF"/>
              <w:bottom w:val="single" w:sz="12" w:space="0" w:color="FFFFFF"/>
              <w:right w:val="single" w:sz="12" w:space="0" w:color="FFFFFF"/>
            </w:tcBorders>
            <w:shd w:val="clear" w:color="auto" w:fill="E6F2D9"/>
          </w:tcPr>
          <w:p>
            <w:pPr>
              <w:pStyle w:val="TableParagraph"/>
              <w:spacing w:line="288" w:lineRule="auto" w:before="121"/>
              <w:ind w:left="165" w:right="174"/>
              <w:rPr>
                <w:sz w:val="17"/>
              </w:rPr>
            </w:pPr>
            <w:r>
              <w:rPr>
                <w:color w:val="58595B"/>
                <w:sz w:val="17"/>
              </w:rPr>
              <w:t>Il n’est pas toujours facile de séparer les coûts liés à la formation des enseignants de l’EPE de ceux liés à la formation des</w:t>
            </w:r>
            <w:r>
              <w:rPr>
                <w:color w:val="58595B"/>
                <w:spacing w:val="-7"/>
                <w:sz w:val="17"/>
              </w:rPr>
              <w:t> </w:t>
            </w:r>
            <w:r>
              <w:rPr>
                <w:color w:val="58595B"/>
                <w:sz w:val="17"/>
              </w:rPr>
              <w:t>autres</w:t>
            </w:r>
            <w:r>
              <w:rPr>
                <w:color w:val="58595B"/>
                <w:spacing w:val="-7"/>
                <w:sz w:val="17"/>
              </w:rPr>
              <w:t> </w:t>
            </w:r>
            <w:r>
              <w:rPr>
                <w:color w:val="58595B"/>
                <w:sz w:val="17"/>
              </w:rPr>
              <w:t>enseignants</w:t>
            </w:r>
            <w:r>
              <w:rPr>
                <w:color w:val="58595B"/>
                <w:spacing w:val="-6"/>
                <w:sz w:val="17"/>
              </w:rPr>
              <w:t> </w:t>
            </w:r>
            <w:r>
              <w:rPr>
                <w:color w:val="58595B"/>
                <w:sz w:val="17"/>
              </w:rPr>
              <w:t>(</w:t>
            </w:r>
            <w:r>
              <w:rPr>
                <w:color w:val="58595B"/>
                <w:position w:val="-3"/>
                <w:sz w:val="17"/>
              </w:rPr>
              <w:drawing>
                <wp:inline distT="0" distB="0" distL="0" distR="0">
                  <wp:extent cx="527964" cy="139026"/>
                  <wp:effectExtent l="0" t="0" r="0" b="0"/>
                  <wp:docPr id="67" name="image31.png" descr=""/>
                  <wp:cNvGraphicFramePr>
                    <a:graphicFrameLocks noChangeAspect="1"/>
                  </wp:cNvGraphicFramePr>
                  <a:graphic>
                    <a:graphicData uri="http://schemas.openxmlformats.org/drawingml/2006/picture">
                      <pic:pic>
                        <pic:nvPicPr>
                          <pic:cNvPr id="68" name="image31.png"/>
                          <pic:cNvPicPr/>
                        </pic:nvPicPr>
                        <pic:blipFill>
                          <a:blip r:embed="rId41" cstate="print"/>
                          <a:stretch>
                            <a:fillRect/>
                          </a:stretch>
                        </pic:blipFill>
                        <pic:spPr>
                          <a:xfrm>
                            <a:off x="0" y="0"/>
                            <a:ext cx="527964" cy="139026"/>
                          </a:xfrm>
                          <a:prstGeom prst="rect">
                            <a:avLst/>
                          </a:prstGeom>
                        </pic:spPr>
                      </pic:pic>
                    </a:graphicData>
                  </a:graphic>
                </wp:inline>
              </w:drawing>
            </w:r>
            <w:r>
              <w:rPr>
                <w:color w:val="58595B"/>
                <w:position w:val="-3"/>
                <w:sz w:val="17"/>
              </w:rPr>
            </w:r>
            <w:r>
              <w:rPr>
                <w:rFonts w:ascii="Times New Roman" w:hAnsi="Times New Roman"/>
                <w:color w:val="58595B"/>
                <w:spacing w:val="2"/>
                <w:sz w:val="17"/>
              </w:rPr>
              <w:t> </w:t>
            </w:r>
            <w:r>
              <w:rPr>
                <w:color w:val="58595B"/>
                <w:sz w:val="17"/>
              </w:rPr>
              <w:t>notamment</w:t>
            </w:r>
            <w:r>
              <w:rPr>
                <w:color w:val="58595B"/>
                <w:spacing w:val="-9"/>
                <w:sz w:val="17"/>
              </w:rPr>
              <w:t> </w:t>
            </w:r>
            <w:r>
              <w:rPr>
                <w:color w:val="58595B"/>
                <w:sz w:val="17"/>
              </w:rPr>
              <w:t>les</w:t>
            </w:r>
            <w:r>
              <w:rPr>
                <w:color w:val="58595B"/>
                <w:spacing w:val="-8"/>
                <w:sz w:val="17"/>
              </w:rPr>
              <w:t> </w:t>
            </w:r>
            <w:r>
              <w:rPr>
                <w:color w:val="58595B"/>
                <w:sz w:val="17"/>
              </w:rPr>
              <w:t>enseignants du primaire, souvent formés dans les mêmes établissements, ou les enseignants formés en situation de crise lorsque tous les enseignants suivent la même</w:t>
            </w:r>
            <w:r>
              <w:rPr>
                <w:color w:val="58595B"/>
                <w:spacing w:val="-4"/>
                <w:sz w:val="17"/>
              </w:rPr>
              <w:t> </w:t>
            </w:r>
            <w:r>
              <w:rPr>
                <w:color w:val="58595B"/>
                <w:sz w:val="17"/>
              </w:rPr>
              <w:t>formation).</w:t>
            </w:r>
          </w:p>
          <w:p>
            <w:pPr>
              <w:pStyle w:val="TableParagraph"/>
              <w:spacing w:line="295" w:lineRule="auto" w:before="117"/>
              <w:ind w:left="165" w:right="334"/>
              <w:rPr>
                <w:sz w:val="17"/>
              </w:rPr>
            </w:pPr>
            <w:r>
              <w:rPr>
                <w:color w:val="58595B"/>
                <w:sz w:val="17"/>
              </w:rPr>
              <w:t>Si les coûts sont regroupés, on divise le total des dépenses de formation des enseignants en établissement spécialisé par le nombre total d’enseignants en formation, ce qui revient à supposer que les coûts sont les mêmes pour tous les types d’enseignants. Le nombre d’années de formation peut varier.</w:t>
            </w:r>
          </w:p>
        </w:tc>
      </w:tr>
      <w:tr>
        <w:trPr>
          <w:trHeight w:val="3964"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991285" cy="135350"/>
                  <wp:effectExtent l="0" t="0" r="0" b="0"/>
                  <wp:docPr id="69" name="image34.png" descr=""/>
                  <wp:cNvGraphicFramePr>
                    <a:graphicFrameLocks noChangeAspect="1"/>
                  </wp:cNvGraphicFramePr>
                  <a:graphic>
                    <a:graphicData uri="http://schemas.openxmlformats.org/drawingml/2006/picture">
                      <pic:pic>
                        <pic:nvPicPr>
                          <pic:cNvPr id="70" name="image34.png"/>
                          <pic:cNvPicPr/>
                        </pic:nvPicPr>
                        <pic:blipFill>
                          <a:blip r:embed="rId44" cstate="print"/>
                          <a:stretch>
                            <a:fillRect/>
                          </a:stretch>
                        </pic:blipFill>
                        <pic:spPr>
                          <a:xfrm>
                            <a:off x="0" y="0"/>
                            <a:ext cx="991285"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415"/>
              <w:rPr>
                <w:b/>
                <w:sz w:val="18"/>
              </w:rPr>
            </w:pPr>
            <w:r>
              <w:rPr>
                <w:b/>
                <w:color w:val="58595B"/>
                <w:sz w:val="18"/>
              </w:rPr>
              <w:t>Coût unitaire de la formation continue</w:t>
            </w:r>
          </w:p>
          <w:p>
            <w:pPr>
              <w:pStyle w:val="TableParagraph"/>
              <w:spacing w:line="278" w:lineRule="auto"/>
              <w:ind w:left="167" w:right="325"/>
              <w:rPr>
                <w:b/>
                <w:sz w:val="18"/>
              </w:rPr>
            </w:pPr>
            <w:r>
              <w:rPr>
                <w:b/>
                <w:color w:val="58595B"/>
                <w:sz w:val="18"/>
              </w:rPr>
              <w:t>d’un enseignant de l’EPE</w:t>
            </w:r>
          </w:p>
        </w:tc>
        <w:tc>
          <w:tcPr>
            <w:tcW w:w="183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1"/>
              <w:rPr>
                <w:rFonts w:ascii="Times New Roman"/>
                <w:sz w:val="24"/>
              </w:rPr>
            </w:pPr>
          </w:p>
          <w:p>
            <w:pPr>
              <w:pStyle w:val="TableParagraph"/>
              <w:spacing w:line="364" w:lineRule="auto"/>
              <w:ind w:left="166" w:right="224"/>
              <w:rPr>
                <w:sz w:val="17"/>
              </w:rPr>
            </w:pPr>
            <w:r>
              <w:rPr>
                <w:color w:val="58595B"/>
                <w:sz w:val="17"/>
              </w:rPr>
              <w:t>Par type de formation continue</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14"/>
              </w:rPr>
            </w:pPr>
          </w:p>
          <w:p>
            <w:pPr>
              <w:pStyle w:val="TableParagraph"/>
              <w:spacing w:line="295" w:lineRule="auto"/>
              <w:ind w:left="383" w:right="359" w:firstLine="1"/>
              <w:jc w:val="center"/>
              <w:rPr>
                <w:sz w:val="17"/>
              </w:rPr>
            </w:pPr>
            <w:r>
              <w:rPr>
                <w:color w:val="58595B"/>
                <w:sz w:val="17"/>
              </w:rPr>
              <w:t>Dépenses liées à la formation continue des enseignants de l’EPE</w:t>
            </w:r>
          </w:p>
          <w:p>
            <w:pPr>
              <w:pStyle w:val="TableParagraph"/>
              <w:tabs>
                <w:tab w:pos="3306" w:val="left" w:leader="none"/>
              </w:tabs>
              <w:spacing w:line="166" w:lineRule="exact"/>
              <w:ind w:left="166"/>
              <w:rPr>
                <w:sz w:val="17"/>
              </w:rPr>
            </w:pPr>
            <w:r>
              <w:rPr>
                <w:color w:val="58595B"/>
                <w:sz w:val="17"/>
                <w:u w:val="single" w:color="58595B"/>
              </w:rPr>
              <w:t> </w:t>
              <w:tab/>
            </w:r>
          </w:p>
          <w:p>
            <w:pPr>
              <w:pStyle w:val="TableParagraph"/>
              <w:spacing w:line="295" w:lineRule="auto" w:before="73"/>
              <w:ind w:left="832" w:right="162" w:hanging="629"/>
              <w:rPr>
                <w:sz w:val="17"/>
              </w:rPr>
            </w:pPr>
            <w:r>
              <w:rPr>
                <w:color w:val="58595B"/>
                <w:sz w:val="17"/>
              </w:rPr>
              <w:t>Nombre d’enseignants de l’EPE suivant une formation continue</w:t>
            </w:r>
          </w:p>
        </w:tc>
        <w:tc>
          <w:tcPr>
            <w:tcW w:w="200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95" w:lineRule="auto" w:before="134"/>
              <w:ind w:left="166" w:right="171"/>
              <w:rPr>
                <w:sz w:val="17"/>
              </w:rPr>
            </w:pPr>
            <w:r>
              <w:rPr>
                <w:color w:val="58595B"/>
                <w:sz w:val="17"/>
              </w:rPr>
              <w:t>Prestataire de services de formation continue des enseignants</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19"/>
              <w:ind w:left="165" w:right="304"/>
              <w:rPr>
                <w:sz w:val="17"/>
              </w:rPr>
            </w:pPr>
            <w:r>
              <w:rPr>
                <w:color w:val="58595B"/>
                <w:sz w:val="17"/>
              </w:rPr>
              <w:t>Cet indicateur correspond au coût de la prestation de services de formation continue pour un enseignant.</w:t>
            </w:r>
          </w:p>
          <w:p>
            <w:pPr>
              <w:pStyle w:val="TableParagraph"/>
              <w:spacing w:line="295" w:lineRule="auto" w:before="56"/>
              <w:ind w:left="165" w:right="163"/>
              <w:rPr>
                <w:sz w:val="17"/>
              </w:rPr>
            </w:pPr>
            <w:r>
              <w:rPr>
                <w:color w:val="58595B"/>
                <w:sz w:val="17"/>
              </w:rPr>
              <w:t>La nature et le coût des services considérés comme relevant de la formation continue peuvent varier considérablement, allant d’une formation complète de longue durée sanctionnée par un diplôme pour les enseignants non qualifiés, à des formations spécifiques dispensées sur une journée à l’intention des enseignants déjà diplômés.</w:t>
            </w:r>
          </w:p>
          <w:p>
            <w:pPr>
              <w:pStyle w:val="TableParagraph"/>
              <w:spacing w:line="290" w:lineRule="auto" w:before="35"/>
              <w:ind w:left="165" w:right="159"/>
              <w:rPr>
                <w:sz w:val="17"/>
              </w:rPr>
            </w:pPr>
            <w:r>
              <w:rPr>
                <w:position w:val="-3"/>
              </w:rPr>
              <w:drawing>
                <wp:inline distT="0" distB="0" distL="0" distR="0">
                  <wp:extent cx="647598" cy="138963"/>
                  <wp:effectExtent l="0" t="0" r="0" b="0"/>
                  <wp:docPr id="71" name="image35.png" descr=""/>
                  <wp:cNvGraphicFramePr>
                    <a:graphicFrameLocks noChangeAspect="1"/>
                  </wp:cNvGraphicFramePr>
                  <a:graphic>
                    <a:graphicData uri="http://schemas.openxmlformats.org/drawingml/2006/picture">
                      <pic:pic>
                        <pic:nvPicPr>
                          <pic:cNvPr id="72" name="image35.png"/>
                          <pic:cNvPicPr/>
                        </pic:nvPicPr>
                        <pic:blipFill>
                          <a:blip r:embed="rId45" cstate="print"/>
                          <a:stretch>
                            <a:fillRect/>
                          </a:stretch>
                        </pic:blipFill>
                        <pic:spPr>
                          <a:xfrm>
                            <a:off x="0" y="0"/>
                            <a:ext cx="647598" cy="138963"/>
                          </a:xfrm>
                          <a:prstGeom prst="rect">
                            <a:avLst/>
                          </a:prstGeom>
                        </pic:spPr>
                      </pic:pic>
                    </a:graphicData>
                  </a:graphic>
                </wp:inline>
              </w:drawing>
            </w:r>
            <w:r>
              <w:rPr>
                <w:position w:val="-3"/>
              </w:rPr>
            </w:r>
            <w:r>
              <w:rPr>
                <w:rFonts w:ascii="Times New Roman" w:hAnsi="Times New Roman"/>
                <w:spacing w:val="-3"/>
                <w:sz w:val="20"/>
              </w:rPr>
              <w:t> </w:t>
            </w:r>
            <w:r>
              <w:rPr>
                <w:color w:val="58595B"/>
                <w:sz w:val="17"/>
              </w:rPr>
              <w:t>Il est important que les éléments</w:t>
            </w:r>
            <w:r>
              <w:rPr>
                <w:color w:val="58595B"/>
                <w:spacing w:val="-30"/>
                <w:sz w:val="17"/>
              </w:rPr>
              <w:t> </w:t>
            </w:r>
            <w:r>
              <w:rPr>
                <w:color w:val="58595B"/>
                <w:sz w:val="17"/>
              </w:rPr>
              <w:t>chiffrés coïncident avec les politiques prévues et les activités correspondantes.</w:t>
            </w:r>
          </w:p>
          <w:p>
            <w:pPr>
              <w:pStyle w:val="TableParagraph"/>
              <w:spacing w:line="295" w:lineRule="auto" w:before="58"/>
              <w:ind w:left="165" w:right="191"/>
              <w:rPr>
                <w:sz w:val="17"/>
              </w:rPr>
            </w:pPr>
            <w:r>
              <w:rPr>
                <w:color w:val="58595B"/>
                <w:sz w:val="17"/>
              </w:rPr>
              <w:t>Si l’accent est mis sur la qualification à long terme des enseignants non diplômés et que cette formation dure plus d’un an, cette valeur doit être multipliée par le nombre d’années requises.</w:t>
            </w:r>
          </w:p>
        </w:tc>
      </w:tr>
      <w:tr>
        <w:trPr>
          <w:trHeight w:val="3321" w:hRule="atLeast"/>
        </w:trPr>
        <w:tc>
          <w:tcPr>
            <w:tcW w:w="192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76635" cy="133350"/>
                  <wp:effectExtent l="0" t="0" r="0" b="0"/>
                  <wp:docPr id="73" name="image36.png" descr=""/>
                  <wp:cNvGraphicFramePr>
                    <a:graphicFrameLocks noChangeAspect="1"/>
                  </wp:cNvGraphicFramePr>
                  <a:graphic>
                    <a:graphicData uri="http://schemas.openxmlformats.org/drawingml/2006/picture">
                      <pic:pic>
                        <pic:nvPicPr>
                          <pic:cNvPr id="74" name="image36.png"/>
                          <pic:cNvPicPr/>
                        </pic:nvPicPr>
                        <pic:blipFill>
                          <a:blip r:embed="rId46" cstate="print"/>
                          <a:stretch>
                            <a:fillRect/>
                          </a:stretch>
                        </pic:blipFill>
                        <pic:spPr>
                          <a:xfrm>
                            <a:off x="0" y="0"/>
                            <a:ext cx="976635"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75"/>
              <w:rPr>
                <w:b/>
                <w:sz w:val="18"/>
              </w:rPr>
            </w:pPr>
            <w:r>
              <w:rPr>
                <w:b/>
                <w:color w:val="58595B"/>
                <w:sz w:val="18"/>
              </w:rPr>
              <w:t>Coût de l’inspection/ accompagnement pédagogique</w:t>
            </w:r>
          </w:p>
        </w:tc>
        <w:tc>
          <w:tcPr>
            <w:tcW w:w="183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4"/>
              <w:rPr>
                <w:rFonts w:ascii="Times New Roman"/>
                <w:sz w:val="14"/>
              </w:rPr>
            </w:pPr>
          </w:p>
          <w:p>
            <w:pPr>
              <w:pStyle w:val="TableParagraph"/>
              <w:spacing w:line="295" w:lineRule="auto"/>
              <w:ind w:left="166" w:right="422"/>
              <w:rPr>
                <w:sz w:val="17"/>
              </w:rPr>
            </w:pPr>
            <w:r>
              <w:rPr>
                <w:color w:val="58595B"/>
                <w:sz w:val="17"/>
              </w:rPr>
              <w:t>Salaire moyen d’un inspecteur/ conseiller pédagogique</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17"/>
              </w:rPr>
            </w:pPr>
          </w:p>
          <w:p>
            <w:pPr>
              <w:pStyle w:val="TableParagraph"/>
              <w:spacing w:line="295" w:lineRule="auto" w:before="1"/>
              <w:ind w:left="407" w:right="364" w:firstLine="562"/>
              <w:rPr>
                <w:sz w:val="17"/>
              </w:rPr>
            </w:pPr>
            <w:r>
              <w:rPr>
                <w:color w:val="58595B"/>
                <w:sz w:val="17"/>
              </w:rPr>
              <w:t>Salaire moyen d’un inspecteur/conseiller pédagogique</w:t>
            </w:r>
          </w:p>
        </w:tc>
        <w:tc>
          <w:tcPr>
            <w:tcW w:w="200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9"/>
              </w:rPr>
            </w:pPr>
          </w:p>
          <w:p>
            <w:pPr>
              <w:pStyle w:val="TableParagraph"/>
              <w:spacing w:line="295" w:lineRule="auto"/>
              <w:ind w:left="166" w:right="171"/>
              <w:rPr>
                <w:sz w:val="17"/>
              </w:rPr>
            </w:pPr>
            <w:r>
              <w:rPr>
                <w:color w:val="58595B"/>
                <w:sz w:val="17"/>
              </w:rPr>
              <w:t>Direction des ressources humaines</w:t>
            </w:r>
          </w:p>
          <w:p>
            <w:pPr>
              <w:pStyle w:val="TableParagraph"/>
              <w:spacing w:before="9"/>
              <w:rPr>
                <w:rFonts w:ascii="Times New Roman"/>
                <w:sz w:val="20"/>
              </w:rPr>
            </w:pPr>
          </w:p>
          <w:p>
            <w:pPr>
              <w:pStyle w:val="TableParagraph"/>
              <w:spacing w:before="1"/>
              <w:ind w:left="166"/>
              <w:rPr>
                <w:i/>
                <w:sz w:val="17"/>
              </w:rPr>
            </w:pPr>
            <w:r>
              <w:rPr>
                <w:i/>
                <w:color w:val="58595B"/>
                <w:sz w:val="17"/>
              </w:rPr>
              <w:t>et/ou</w:t>
            </w:r>
          </w:p>
          <w:p>
            <w:pPr>
              <w:pStyle w:val="TableParagraph"/>
              <w:spacing w:before="8"/>
              <w:rPr>
                <w:rFonts w:ascii="Times New Roman"/>
                <w:sz w:val="24"/>
              </w:rPr>
            </w:pPr>
          </w:p>
          <w:p>
            <w:pPr>
              <w:pStyle w:val="TableParagraph"/>
              <w:ind w:left="166"/>
              <w:rPr>
                <w:sz w:val="17"/>
              </w:rPr>
            </w:pPr>
            <w:r>
              <w:rPr>
                <w:color w:val="58595B"/>
                <w:sz w:val="17"/>
              </w:rPr>
              <w:t>Ministère de</w:t>
            </w:r>
          </w:p>
          <w:p>
            <w:pPr>
              <w:pStyle w:val="TableParagraph"/>
              <w:spacing w:before="45"/>
              <w:ind w:left="166"/>
              <w:rPr>
                <w:sz w:val="17"/>
              </w:rPr>
            </w:pPr>
            <w:r>
              <w:rPr>
                <w:color w:val="58595B"/>
                <w:sz w:val="17"/>
              </w:rPr>
              <w:t>la fonction publique</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95" w:lineRule="auto" w:before="120"/>
              <w:ind w:left="165" w:right="144"/>
              <w:rPr>
                <w:sz w:val="17"/>
              </w:rPr>
            </w:pPr>
            <w:r>
              <w:rPr>
                <w:color w:val="58595B"/>
                <w:sz w:val="17"/>
              </w:rPr>
              <w:t>Cette information peut être obtenue auprès du département   des ressources humaines ou du service administratif de la fonction publique. Comme pour les enseignants, le salaire moyen des inspecteurs/conseillers pédagogiques correspond généralement au traitement perçu en milieu de carrière (il peut être exprimé en salaire mensuel ou annuel, cette dernière valeur étant souvent plus pertinente), mais il doit en principe comprendre les autres formes de rémunération (sécurité  sociale et cotisations de retraite), et peut également inclure l’enveloppe mise à leur disposition (par exemple, pour les frais de transport). Cette variante de l’indicateur est particulièrement utile lorsque la politique prévoit explicitement une augmentation du nombre</w:t>
            </w:r>
            <w:r>
              <w:rPr>
                <w:color w:val="58595B"/>
                <w:spacing w:val="4"/>
                <w:sz w:val="17"/>
              </w:rPr>
              <w:t> </w:t>
            </w:r>
            <w:r>
              <w:rPr>
                <w:color w:val="58595B"/>
                <w:sz w:val="17"/>
              </w:rPr>
              <w:t>d’inspecteurs.</w:t>
            </w:r>
          </w:p>
        </w:tc>
      </w:tr>
    </w:tbl>
    <w:p>
      <w:pPr>
        <w:spacing w:after="0" w:line="295" w:lineRule="auto"/>
        <w:rPr>
          <w:sz w:val="17"/>
        </w:rPr>
        <w:sectPr>
          <w:pgSz w:w="15840" w:h="12240" w:orient="landscape"/>
          <w:pgMar w:header="314" w:footer="0" w:top="660" w:bottom="280" w:left="600" w:right="340"/>
        </w:sectPr>
      </w:pPr>
    </w:p>
    <w:p>
      <w:pPr>
        <w:pStyle w:val="BodyText"/>
        <w:spacing w:before="5"/>
        <w:rPr>
          <w:rFonts w:ascii="Times New Roman"/>
          <w:sz w:val="25"/>
        </w:rPr>
      </w:pPr>
    </w:p>
    <w:tbl>
      <w:tblPr>
        <w:tblW w:w="0" w:type="auto"/>
        <w:jc w:val="left"/>
        <w:tblInd w:w="26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14"/>
        <w:gridCol w:w="1848"/>
        <w:gridCol w:w="3402"/>
        <w:gridCol w:w="2009"/>
        <w:gridCol w:w="5182"/>
      </w:tblGrid>
      <w:tr>
        <w:trPr>
          <w:trHeight w:val="491" w:hRule="atLeast"/>
        </w:trPr>
        <w:tc>
          <w:tcPr>
            <w:tcW w:w="1914" w:type="dxa"/>
            <w:tcBorders>
              <w:left w:val="nil"/>
              <w:right w:val="nil"/>
            </w:tcBorders>
          </w:tcPr>
          <w:p>
            <w:pPr>
              <w:pStyle w:val="TableParagraph"/>
              <w:spacing w:before="142"/>
              <w:ind w:left="543"/>
              <w:rPr>
                <w:b/>
                <w:sz w:val="18"/>
              </w:rPr>
            </w:pPr>
            <w:r>
              <w:rPr>
                <w:b/>
                <w:color w:val="58595B"/>
                <w:sz w:val="18"/>
              </w:rPr>
              <w:t>Indicateur</w:t>
            </w:r>
          </w:p>
        </w:tc>
        <w:tc>
          <w:tcPr>
            <w:tcW w:w="1848" w:type="dxa"/>
            <w:tcBorders>
              <w:left w:val="nil"/>
              <w:right w:val="nil"/>
            </w:tcBorders>
          </w:tcPr>
          <w:p>
            <w:pPr>
              <w:pStyle w:val="TableParagraph"/>
              <w:spacing w:before="142"/>
              <w:ind w:left="539"/>
              <w:rPr>
                <w:b/>
                <w:sz w:val="18"/>
              </w:rPr>
            </w:pPr>
            <w:r>
              <w:rPr>
                <w:b/>
                <w:color w:val="58595B"/>
                <w:sz w:val="18"/>
              </w:rPr>
              <w:t>Variantes</w:t>
            </w:r>
          </w:p>
        </w:tc>
        <w:tc>
          <w:tcPr>
            <w:tcW w:w="3402" w:type="dxa"/>
            <w:tcBorders>
              <w:left w:val="nil"/>
              <w:right w:val="nil"/>
            </w:tcBorders>
          </w:tcPr>
          <w:p>
            <w:pPr>
              <w:pStyle w:val="TableParagraph"/>
              <w:spacing w:before="142"/>
              <w:ind w:left="1271" w:right="1249"/>
              <w:jc w:val="center"/>
              <w:rPr>
                <w:b/>
                <w:sz w:val="18"/>
              </w:rPr>
            </w:pPr>
            <w:r>
              <w:rPr>
                <w:b/>
                <w:color w:val="58595B"/>
                <w:sz w:val="18"/>
              </w:rPr>
              <w:t>Définition</w:t>
            </w:r>
          </w:p>
        </w:tc>
        <w:tc>
          <w:tcPr>
            <w:tcW w:w="2009" w:type="dxa"/>
            <w:tcBorders>
              <w:left w:val="nil"/>
              <w:right w:val="nil"/>
            </w:tcBorders>
          </w:tcPr>
          <w:p>
            <w:pPr>
              <w:pStyle w:val="TableParagraph"/>
              <w:spacing w:line="232" w:lineRule="auto" w:before="47"/>
              <w:ind w:left="57" w:right="21" w:firstLine="409"/>
              <w:rPr>
                <w:b/>
                <w:sz w:val="18"/>
              </w:rPr>
            </w:pPr>
            <w:r>
              <w:rPr>
                <w:b/>
                <w:color w:val="58595B"/>
                <w:sz w:val="18"/>
              </w:rPr>
              <w:t>Source(s) de données potentielle(s)</w:t>
            </w:r>
          </w:p>
        </w:tc>
        <w:tc>
          <w:tcPr>
            <w:tcW w:w="5182" w:type="dxa"/>
            <w:tcBorders>
              <w:left w:val="nil"/>
              <w:right w:val="nil"/>
            </w:tcBorders>
          </w:tcPr>
          <w:p>
            <w:pPr>
              <w:pStyle w:val="TableParagraph"/>
              <w:spacing w:before="142"/>
              <w:ind w:left="2002" w:right="1988"/>
              <w:jc w:val="center"/>
              <w:rPr>
                <w:b/>
                <w:sz w:val="18"/>
              </w:rPr>
            </w:pPr>
            <w:r>
              <w:rPr>
                <w:b/>
                <w:color w:val="58595B"/>
                <w:sz w:val="18"/>
              </w:rPr>
              <w:t>Observations</w:t>
            </w:r>
          </w:p>
        </w:tc>
      </w:tr>
      <w:tr>
        <w:trPr>
          <w:trHeight w:val="1016" w:hRule="atLeast"/>
        </w:trPr>
        <w:tc>
          <w:tcPr>
            <w:tcW w:w="1914" w:type="dxa"/>
            <w:vMerge w:val="restart"/>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1848"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3402"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2009" w:type="dxa"/>
            <w:tcBorders>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c>
          <w:tcPr>
            <w:tcW w:w="5182" w:type="dxa"/>
            <w:tcBorders>
              <w:left w:val="single" w:sz="12" w:space="0" w:color="FFFFFF"/>
              <w:bottom w:val="single" w:sz="12" w:space="0" w:color="FFFFFF"/>
              <w:right w:val="single" w:sz="12" w:space="0" w:color="FFFFFF"/>
            </w:tcBorders>
            <w:shd w:val="clear" w:color="auto" w:fill="E6F2D9"/>
          </w:tcPr>
          <w:p>
            <w:pPr>
              <w:pStyle w:val="TableParagraph"/>
              <w:spacing w:before="7"/>
              <w:rPr>
                <w:rFonts w:ascii="Times New Roman"/>
                <w:sz w:val="16"/>
              </w:rPr>
            </w:pPr>
          </w:p>
          <w:p>
            <w:pPr>
              <w:pStyle w:val="TableParagraph"/>
              <w:spacing w:line="271" w:lineRule="auto"/>
              <w:ind w:left="159"/>
              <w:rPr>
                <w:sz w:val="17"/>
              </w:rPr>
            </w:pPr>
            <w:r>
              <w:rPr>
                <w:color w:val="58595B"/>
                <w:sz w:val="17"/>
              </w:rPr>
              <w:t>Un autre indicateur qu’il peut être intéressant de calculer à partir de cet indicateur est le nombre moyen d’établissements d’EPE supervisés par un inspecteur.</w:t>
            </w:r>
          </w:p>
        </w:tc>
      </w:tr>
      <w:tr>
        <w:trPr>
          <w:trHeight w:val="1533" w:hRule="atLeast"/>
        </w:trPr>
        <w:tc>
          <w:tcPr>
            <w:tcW w:w="1914"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184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32"/>
              <w:ind w:left="175" w:right="166"/>
              <w:rPr>
                <w:sz w:val="17"/>
              </w:rPr>
            </w:pPr>
            <w:r>
              <w:rPr>
                <w:color w:val="58595B"/>
                <w:sz w:val="17"/>
              </w:rPr>
              <w:t>En pourcentage des dépenses courantes consacrées à</w:t>
            </w:r>
            <w:r>
              <w:rPr>
                <w:color w:val="58595B"/>
                <w:spacing w:val="2"/>
                <w:sz w:val="17"/>
              </w:rPr>
              <w:t> </w:t>
            </w:r>
            <w:r>
              <w:rPr>
                <w:color w:val="58595B"/>
                <w:spacing w:val="-4"/>
                <w:sz w:val="17"/>
              </w:rPr>
              <w:t>l’EPE</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19"/>
              <w:ind w:left="459" w:right="435"/>
              <w:jc w:val="center"/>
              <w:rPr>
                <w:sz w:val="17"/>
              </w:rPr>
            </w:pPr>
            <w:r>
              <w:rPr>
                <w:color w:val="58595B"/>
                <w:sz w:val="17"/>
              </w:rPr>
              <w:t>Dépenses courantes consacrées à l’EPE affectées à l’inspection accompagnement pédagogique</w:t>
            </w:r>
          </w:p>
          <w:p>
            <w:pPr>
              <w:pStyle w:val="TableParagraph"/>
              <w:tabs>
                <w:tab w:pos="3147" w:val="left" w:leader="none"/>
              </w:tabs>
              <w:spacing w:line="271" w:lineRule="auto"/>
              <w:ind w:left="247" w:right="222"/>
              <w:jc w:val="center"/>
              <w:rPr>
                <w:sz w:val="17"/>
              </w:rPr>
            </w:pPr>
            <w:r>
              <w:rPr>
                <w:color w:val="58595B"/>
                <w:sz w:val="17"/>
                <w:u w:val="single" w:color="58595B"/>
              </w:rPr>
              <w:t> </w:t>
              <w:tab/>
            </w:r>
            <w:r>
              <w:rPr>
                <w:color w:val="58595B"/>
                <w:sz w:val="17"/>
              </w:rPr>
              <w:t> </w:t>
            </w:r>
            <w:r>
              <w:rPr>
                <w:color w:val="58595B"/>
                <w:spacing w:val="-19"/>
                <w:sz w:val="17"/>
              </w:rPr>
              <w:t>T</w:t>
            </w:r>
            <w:r>
              <w:rPr>
                <w:color w:val="58595B"/>
                <w:spacing w:val="-1"/>
                <w:sz w:val="17"/>
              </w:rPr>
              <w:t>ota</w:t>
            </w:r>
            <w:r>
              <w:rPr>
                <w:color w:val="58595B"/>
                <w:sz w:val="17"/>
              </w:rPr>
              <w:t>l</w:t>
            </w:r>
            <w:r>
              <w:rPr>
                <w:color w:val="58595B"/>
                <w:spacing w:val="-1"/>
                <w:sz w:val="17"/>
              </w:rPr>
              <w:t> de</w:t>
            </w:r>
            <w:r>
              <w:rPr>
                <w:color w:val="58595B"/>
                <w:sz w:val="17"/>
              </w:rPr>
              <w:t>s</w:t>
            </w:r>
            <w:r>
              <w:rPr>
                <w:color w:val="58595B"/>
                <w:spacing w:val="-1"/>
                <w:sz w:val="17"/>
              </w:rPr>
              <w:t> dépense</w:t>
            </w:r>
            <w:r>
              <w:rPr>
                <w:color w:val="58595B"/>
                <w:sz w:val="17"/>
              </w:rPr>
              <w:t>s</w:t>
            </w:r>
            <w:r>
              <w:rPr>
                <w:color w:val="58595B"/>
                <w:spacing w:val="-1"/>
                <w:sz w:val="17"/>
              </w:rPr>
              <w:t> </w:t>
            </w:r>
            <w:r>
              <w:rPr>
                <w:color w:val="58595B"/>
                <w:sz w:val="17"/>
              </w:rPr>
              <w:t>courantes consacrées à</w:t>
            </w:r>
            <w:r>
              <w:rPr>
                <w:color w:val="58595B"/>
                <w:spacing w:val="-1"/>
                <w:sz w:val="17"/>
              </w:rPr>
              <w:t> l’EPE</w:t>
            </w: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32"/>
              <w:ind w:left="166" w:right="800"/>
              <w:rPr>
                <w:sz w:val="17"/>
              </w:rPr>
            </w:pPr>
            <w:r>
              <w:rPr>
                <w:color w:val="58595B"/>
                <w:sz w:val="17"/>
              </w:rPr>
              <w:t>Direction des finances du Ministère de l’éducation</w:t>
            </w:r>
          </w:p>
        </w:tc>
        <w:tc>
          <w:tcPr>
            <w:tcW w:w="518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32"/>
              <w:ind w:left="159" w:right="247"/>
              <w:rPr>
                <w:sz w:val="17"/>
              </w:rPr>
            </w:pPr>
            <w:r>
              <w:rPr>
                <w:color w:val="58595B"/>
                <w:sz w:val="17"/>
              </w:rPr>
              <w:t>Cette variante peut être particulièrement utile au stade de la simulation financière à long terme, lorsqu’aucune stratégie d’inspection n’est clairement définie mais qu’une augmentation budgétaire est prévue dans ce domaine.</w:t>
            </w:r>
          </w:p>
        </w:tc>
      </w:tr>
      <w:tr>
        <w:trPr>
          <w:trHeight w:val="1313" w:hRule="atLeast"/>
        </w:trPr>
        <w:tc>
          <w:tcPr>
            <w:tcW w:w="1914"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76635" cy="133350"/>
                  <wp:effectExtent l="0" t="0" r="0" b="0"/>
                  <wp:docPr id="75" name="image37.png" descr=""/>
                  <wp:cNvGraphicFramePr>
                    <a:graphicFrameLocks noChangeAspect="1"/>
                  </wp:cNvGraphicFramePr>
                  <a:graphic>
                    <a:graphicData uri="http://schemas.openxmlformats.org/drawingml/2006/picture">
                      <pic:pic>
                        <pic:nvPicPr>
                          <pic:cNvPr id="76" name="image37.png"/>
                          <pic:cNvPicPr/>
                        </pic:nvPicPr>
                        <pic:blipFill>
                          <a:blip r:embed="rId47" cstate="print"/>
                          <a:stretch>
                            <a:fillRect/>
                          </a:stretch>
                        </pic:blipFill>
                        <pic:spPr>
                          <a:xfrm>
                            <a:off x="0" y="0"/>
                            <a:ext cx="976635"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306"/>
              <w:rPr>
                <w:b/>
                <w:sz w:val="18"/>
              </w:rPr>
            </w:pPr>
            <w:r>
              <w:rPr>
                <w:b/>
                <w:color w:val="58595B"/>
                <w:sz w:val="18"/>
              </w:rPr>
              <w:t>Coûts d’entretien et de fonctionnement des infrastructures</w:t>
            </w:r>
          </w:p>
        </w:tc>
        <w:tc>
          <w:tcPr>
            <w:tcW w:w="184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spacing w:before="145"/>
              <w:ind w:left="175"/>
              <w:rPr>
                <w:sz w:val="17"/>
              </w:rPr>
            </w:pPr>
            <w:r>
              <w:rPr>
                <w:color w:val="58595B"/>
                <w:sz w:val="17"/>
              </w:rPr>
              <w:t>Par salle de classe</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10"/>
              <w:rPr>
                <w:rFonts w:ascii="Times New Roman"/>
                <w:sz w:val="19"/>
              </w:rPr>
            </w:pPr>
          </w:p>
          <w:p>
            <w:pPr>
              <w:pStyle w:val="TableParagraph"/>
              <w:spacing w:line="271" w:lineRule="auto" w:before="1"/>
              <w:ind w:left="393" w:right="369" w:hanging="1"/>
              <w:jc w:val="center"/>
              <w:rPr>
                <w:sz w:val="17"/>
              </w:rPr>
            </w:pPr>
            <w:r>
              <w:rPr>
                <w:color w:val="58595B"/>
                <w:sz w:val="17"/>
              </w:rPr>
              <w:t>Dépenses d’entretien et de fonctionnement des infrastructures</w:t>
            </w:r>
          </w:p>
          <w:p>
            <w:pPr>
              <w:pStyle w:val="TableParagraph"/>
              <w:tabs>
                <w:tab w:pos="1460" w:val="left" w:leader="none"/>
                <w:tab w:pos="3192" w:val="left" w:leader="none"/>
              </w:tabs>
              <w:spacing w:line="271" w:lineRule="auto"/>
              <w:ind w:left="292" w:right="177"/>
              <w:jc w:val="center"/>
              <w:rPr>
                <w:sz w:val="17"/>
              </w:rPr>
            </w:pPr>
            <w:r>
              <w:rPr>
                <w:rFonts w:ascii="Times New Roman" w:hAnsi="Times New Roman"/>
                <w:color w:val="58595B"/>
                <w:sz w:val="17"/>
                <w:u w:val="single" w:color="58595B"/>
              </w:rPr>
              <w:t> </w:t>
              <w:tab/>
            </w:r>
            <w:r>
              <w:rPr>
                <w:color w:val="58595B"/>
                <w:sz w:val="17"/>
                <w:u w:val="single" w:color="58595B"/>
              </w:rPr>
              <w:t>d’EPE</w:t>
              <w:tab/>
            </w:r>
            <w:r>
              <w:rPr>
                <w:color w:val="58595B"/>
                <w:sz w:val="17"/>
              </w:rPr>
              <w:t> Nombre de salles</w:t>
            </w:r>
            <w:r>
              <w:rPr>
                <w:color w:val="58595B"/>
                <w:spacing w:val="-5"/>
                <w:sz w:val="17"/>
              </w:rPr>
              <w:t> </w:t>
            </w:r>
            <w:r>
              <w:rPr>
                <w:color w:val="58595B"/>
                <w:sz w:val="17"/>
              </w:rPr>
              <w:t>d’EPE</w:t>
            </w: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line="271" w:lineRule="auto" w:before="119"/>
              <w:ind w:left="166" w:right="800"/>
              <w:rPr>
                <w:sz w:val="17"/>
              </w:rPr>
            </w:pPr>
            <w:r>
              <w:rPr>
                <w:color w:val="58595B"/>
                <w:sz w:val="17"/>
              </w:rPr>
              <w:t>Direction des finances du Ministère de l’éducation SIGE</w:t>
            </w:r>
          </w:p>
        </w:tc>
        <w:tc>
          <w:tcPr>
            <w:tcW w:w="5182"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32"/>
              <w:ind w:left="159" w:right="323"/>
              <w:rPr>
                <w:sz w:val="17"/>
              </w:rPr>
            </w:pPr>
            <w:r>
              <w:rPr>
                <w:color w:val="58595B"/>
                <w:sz w:val="17"/>
              </w:rPr>
              <w:t>Les coûts d’entretien et de fonctionnement des infrastructures (électricité, chauffage, etc.) peuvent être exprimés pour une salle de classe, auquel cas cette valeur sera multipliée par le nombre de salles d’EPE retenu comme base de calcul, ou en pourcentage approximatif des dépenses courantes.</w:t>
            </w:r>
          </w:p>
          <w:p>
            <w:pPr>
              <w:pStyle w:val="TableParagraph"/>
              <w:spacing w:line="271" w:lineRule="auto" w:before="52"/>
              <w:ind w:left="159" w:right="191"/>
              <w:rPr>
                <w:sz w:val="17"/>
              </w:rPr>
            </w:pPr>
            <w:r>
              <w:rPr>
                <w:color w:val="58595B"/>
                <w:sz w:val="17"/>
              </w:rPr>
              <w:t>Dans les deux cas, il peut être difficile de séparer les coûts d’entretien et de fonctionnement des salles d’EPE de ceux des autres sous-secteurs, en particulier de l’enseignement primaire. Pour pallier cette difficulté, il est possible d’effectuer ce calcul pour toutes les salles de classe sans distinction.</w:t>
            </w:r>
          </w:p>
        </w:tc>
      </w:tr>
      <w:tr>
        <w:trPr>
          <w:trHeight w:val="1565" w:hRule="atLeast"/>
        </w:trPr>
        <w:tc>
          <w:tcPr>
            <w:tcW w:w="1914"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184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48"/>
              <w:ind w:left="175" w:right="166"/>
              <w:rPr>
                <w:sz w:val="17"/>
              </w:rPr>
            </w:pPr>
            <w:r>
              <w:rPr>
                <w:color w:val="58595B"/>
                <w:sz w:val="17"/>
              </w:rPr>
              <w:t>En pourcentage des dépenses courantes consacrées à</w:t>
            </w:r>
            <w:r>
              <w:rPr>
                <w:color w:val="58595B"/>
                <w:spacing w:val="2"/>
                <w:sz w:val="17"/>
              </w:rPr>
              <w:t> </w:t>
            </w:r>
            <w:r>
              <w:rPr>
                <w:color w:val="58595B"/>
                <w:spacing w:val="-4"/>
                <w:sz w:val="17"/>
              </w:rPr>
              <w:t>l’EPE</w:t>
            </w:r>
          </w:p>
        </w:tc>
        <w:tc>
          <w:tcPr>
            <w:tcW w:w="3402"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3"/>
              <w:rPr>
                <w:rFonts w:ascii="Times New Roman"/>
                <w:sz w:val="21"/>
              </w:rPr>
            </w:pPr>
          </w:p>
          <w:p>
            <w:pPr>
              <w:pStyle w:val="TableParagraph"/>
              <w:spacing w:line="271" w:lineRule="auto" w:before="1"/>
              <w:ind w:left="393" w:right="368" w:hanging="1"/>
              <w:jc w:val="center"/>
              <w:rPr>
                <w:sz w:val="17"/>
              </w:rPr>
            </w:pPr>
            <w:r>
              <w:rPr>
                <w:color w:val="58595B"/>
                <w:sz w:val="17"/>
              </w:rPr>
              <w:t>Dépenses d’entretien et de fonctionnement des infrastructures</w:t>
            </w:r>
          </w:p>
          <w:p>
            <w:pPr>
              <w:pStyle w:val="TableParagraph"/>
              <w:tabs>
                <w:tab w:pos="1460" w:val="left" w:leader="none"/>
                <w:tab w:pos="3192" w:val="left" w:leader="none"/>
              </w:tabs>
              <w:spacing w:line="271" w:lineRule="auto"/>
              <w:ind w:left="292" w:right="177"/>
              <w:jc w:val="center"/>
              <w:rPr>
                <w:sz w:val="17"/>
              </w:rPr>
            </w:pPr>
            <w:r>
              <w:rPr>
                <w:rFonts w:ascii="Times New Roman" w:hAnsi="Times New Roman"/>
                <w:color w:val="58595B"/>
                <w:sz w:val="17"/>
                <w:u w:val="single" w:color="58595B"/>
              </w:rPr>
              <w:t> </w:t>
              <w:tab/>
            </w:r>
            <w:r>
              <w:rPr>
                <w:color w:val="58595B"/>
                <w:sz w:val="17"/>
                <w:u w:val="single" w:color="58595B"/>
              </w:rPr>
              <w:t>d’EPE</w:t>
              <w:tab/>
            </w:r>
            <w:r>
              <w:rPr>
                <w:color w:val="58595B"/>
                <w:sz w:val="17"/>
              </w:rPr>
              <w:t> </w:t>
            </w:r>
            <w:r>
              <w:rPr>
                <w:color w:val="58595B"/>
                <w:spacing w:val="-5"/>
                <w:sz w:val="17"/>
              </w:rPr>
              <w:t>Total </w:t>
            </w:r>
            <w:r>
              <w:rPr>
                <w:color w:val="58595B"/>
                <w:sz w:val="17"/>
              </w:rPr>
              <w:t>des dépenses courantes consacrées à</w:t>
            </w:r>
            <w:r>
              <w:rPr>
                <w:color w:val="58595B"/>
                <w:spacing w:val="-2"/>
                <w:sz w:val="17"/>
              </w:rPr>
              <w:t> </w:t>
            </w:r>
            <w:r>
              <w:rPr>
                <w:color w:val="58595B"/>
                <w:sz w:val="17"/>
              </w:rPr>
              <w:t>l’EPE</w:t>
            </w: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spacing w:line="271" w:lineRule="auto" w:before="148"/>
              <w:ind w:left="166" w:right="800"/>
              <w:rPr>
                <w:sz w:val="17"/>
              </w:rPr>
            </w:pPr>
            <w:r>
              <w:rPr>
                <w:color w:val="58595B"/>
                <w:sz w:val="17"/>
              </w:rPr>
              <w:t>Direction des finances du Ministère de l’éducation</w:t>
            </w:r>
          </w:p>
        </w:tc>
        <w:tc>
          <w:tcPr>
            <w:tcW w:w="5182"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r>
      <w:tr>
        <w:trPr>
          <w:trHeight w:val="4201" w:hRule="atLeast"/>
        </w:trPr>
        <w:tc>
          <w:tcPr>
            <w:tcW w:w="1914"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33550" cy="133350"/>
                  <wp:effectExtent l="0" t="0" r="0" b="0"/>
                  <wp:docPr id="77" name="image38.png" descr=""/>
                  <wp:cNvGraphicFramePr>
                    <a:graphicFrameLocks noChangeAspect="1"/>
                  </wp:cNvGraphicFramePr>
                  <a:graphic>
                    <a:graphicData uri="http://schemas.openxmlformats.org/drawingml/2006/picture">
                      <pic:pic>
                        <pic:nvPicPr>
                          <pic:cNvPr id="78" name="image38.png"/>
                          <pic:cNvPicPr/>
                        </pic:nvPicPr>
                        <pic:blipFill>
                          <a:blip r:embed="rId48" cstate="print"/>
                          <a:stretch>
                            <a:fillRect/>
                          </a:stretch>
                        </pic:blipFill>
                        <pic:spPr>
                          <a:xfrm>
                            <a:off x="0" y="0"/>
                            <a:ext cx="933550"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496"/>
              <w:rPr>
                <w:b/>
                <w:sz w:val="18"/>
              </w:rPr>
            </w:pPr>
            <w:r>
              <w:rPr>
                <w:b/>
                <w:color w:val="58595B"/>
                <w:sz w:val="18"/>
              </w:rPr>
              <w:t>Pourcentage des « autres » dépenses courantes consacrées à l’EPE</w:t>
            </w:r>
          </w:p>
        </w:tc>
        <w:tc>
          <w:tcPr>
            <w:tcW w:w="1848"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6"/>
              </w:rPr>
            </w:pPr>
          </w:p>
        </w:tc>
        <w:tc>
          <w:tcPr>
            <w:tcW w:w="340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1"/>
              <w:rPr>
                <w:rFonts w:ascii="Times New Roman"/>
                <w:sz w:val="20"/>
              </w:rPr>
            </w:pPr>
          </w:p>
          <w:p>
            <w:pPr>
              <w:pStyle w:val="TableParagraph"/>
              <w:tabs>
                <w:tab w:pos="3105" w:val="left" w:leader="none"/>
              </w:tabs>
              <w:spacing w:line="270" w:lineRule="atLeast"/>
              <w:ind w:left="684" w:right="264" w:hanging="112"/>
              <w:rPr>
                <w:sz w:val="17"/>
              </w:rPr>
            </w:pPr>
            <w:r>
              <w:rPr>
                <w:rFonts w:ascii="Times New Roman" w:hAnsi="Times New Roman"/>
                <w:color w:val="58595B"/>
                <w:sz w:val="17"/>
                <w:u w:val="single" w:color="000000"/>
              </w:rPr>
              <w:t>   </w:t>
            </w:r>
            <w:r>
              <w:rPr>
                <w:rFonts w:ascii="Times New Roman" w:hAnsi="Times New Roman"/>
                <w:color w:val="58595B"/>
                <w:spacing w:val="9"/>
                <w:sz w:val="17"/>
                <w:u w:val="single" w:color="000000"/>
              </w:rPr>
              <w:t> </w:t>
            </w:r>
            <w:r>
              <w:rPr>
                <w:color w:val="58595B"/>
                <w:sz w:val="17"/>
                <w:u w:val="single" w:color="000000"/>
              </w:rPr>
              <w:t>Autres</w:t>
            </w:r>
            <w:r>
              <w:rPr>
                <w:color w:val="58595B"/>
                <w:spacing w:val="-4"/>
                <w:sz w:val="17"/>
                <w:u w:val="single" w:color="000000"/>
              </w:rPr>
              <w:t> </w:t>
            </w:r>
            <w:r>
              <w:rPr>
                <w:color w:val="58595B"/>
                <w:sz w:val="17"/>
                <w:u w:val="single" w:color="000000"/>
              </w:rPr>
              <w:t>dépenses</w:t>
            </w:r>
            <w:r>
              <w:rPr>
                <w:color w:val="58595B"/>
                <w:spacing w:val="-4"/>
                <w:sz w:val="17"/>
                <w:u w:val="single" w:color="000000"/>
              </w:rPr>
              <w:t> </w:t>
            </w:r>
            <w:r>
              <w:rPr>
                <w:color w:val="58595B"/>
                <w:sz w:val="17"/>
                <w:u w:val="single" w:color="000000"/>
              </w:rPr>
              <w:t>courantes</w:t>
              <w:tab/>
            </w:r>
            <w:r>
              <w:rPr>
                <w:color w:val="58595B"/>
                <w:sz w:val="17"/>
              </w:rPr>
              <w:t> </w:t>
            </w:r>
            <w:r>
              <w:rPr>
                <w:color w:val="58595B"/>
                <w:spacing w:val="-5"/>
                <w:sz w:val="17"/>
              </w:rPr>
              <w:t>Total </w:t>
            </w:r>
            <w:r>
              <w:rPr>
                <w:color w:val="58595B"/>
                <w:sz w:val="17"/>
              </w:rPr>
              <w:t>des dépenses</w:t>
            </w:r>
            <w:r>
              <w:rPr>
                <w:color w:val="58595B"/>
                <w:spacing w:val="-1"/>
                <w:sz w:val="17"/>
              </w:rPr>
              <w:t> </w:t>
            </w:r>
            <w:r>
              <w:rPr>
                <w:color w:val="58595B"/>
                <w:sz w:val="17"/>
              </w:rPr>
              <w:t>courantes</w:t>
            </w:r>
          </w:p>
          <w:p>
            <w:pPr>
              <w:pStyle w:val="TableParagraph"/>
              <w:spacing w:before="31"/>
              <w:ind w:left="960"/>
              <w:rPr>
                <w:sz w:val="17"/>
              </w:rPr>
            </w:pPr>
            <w:r>
              <w:rPr>
                <w:color w:val="58595B"/>
                <w:sz w:val="17"/>
              </w:rPr>
              <w:t>consacrées à l’EPE</w:t>
            </w:r>
          </w:p>
        </w:tc>
        <w:tc>
          <w:tcPr>
            <w:tcW w:w="2009"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6"/>
              <w:rPr>
                <w:rFonts w:ascii="Times New Roman"/>
                <w:sz w:val="14"/>
              </w:rPr>
            </w:pPr>
          </w:p>
          <w:p>
            <w:pPr>
              <w:pStyle w:val="TableParagraph"/>
              <w:spacing w:line="271" w:lineRule="auto"/>
              <w:ind w:left="166" w:right="800"/>
              <w:rPr>
                <w:sz w:val="17"/>
              </w:rPr>
            </w:pPr>
            <w:r>
              <w:rPr>
                <w:color w:val="58595B"/>
                <w:sz w:val="17"/>
              </w:rPr>
              <w:t>Direction des finances du</w:t>
            </w:r>
          </w:p>
          <w:p>
            <w:pPr>
              <w:pStyle w:val="TableParagraph"/>
              <w:spacing w:line="271" w:lineRule="auto" w:before="112"/>
              <w:ind w:left="166" w:right="867"/>
              <w:rPr>
                <w:sz w:val="17"/>
              </w:rPr>
            </w:pPr>
            <w:r>
              <w:rPr>
                <w:color w:val="58595B"/>
                <w:sz w:val="17"/>
              </w:rPr>
              <w:t>Ministère de l’éducation</w:t>
            </w:r>
          </w:p>
        </w:tc>
        <w:tc>
          <w:tcPr>
            <w:tcW w:w="5182" w:type="dxa"/>
            <w:tcBorders>
              <w:top w:val="single" w:sz="12" w:space="0" w:color="FFFFFF"/>
              <w:left w:val="single" w:sz="12" w:space="0" w:color="FFFFFF"/>
              <w:bottom w:val="single" w:sz="12" w:space="0" w:color="FFFFFF"/>
              <w:right w:val="single" w:sz="12" w:space="0" w:color="FFFFFF"/>
            </w:tcBorders>
            <w:shd w:val="clear" w:color="auto" w:fill="F9D8D4"/>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line="271" w:lineRule="auto" w:before="115"/>
              <w:ind w:left="159" w:right="172"/>
              <w:rPr>
                <w:sz w:val="17"/>
              </w:rPr>
            </w:pPr>
            <w:r>
              <w:rPr>
                <w:color w:val="58595B"/>
                <w:sz w:val="17"/>
              </w:rPr>
              <w:t>Cet indicateur permet de réaliser des simulations financières, car les projections comportent toujours un certain degré d’approximation (voir les modèles 3 et 4 dans l’annexe ci-après, et l’exemple de modèle de simulation pour Sao Tomé-et- Principe de l’</w:t>
            </w:r>
            <w:hyperlink r:id="rId49">
              <w:r>
                <w:rPr>
                  <w:color w:val="58595B"/>
                  <w:sz w:val="17"/>
                  <w:u w:val="single" w:color="58595B"/>
                </w:rPr>
                <w:t>outil 3.3</w:t>
              </w:r>
            </w:hyperlink>
            <w:r>
              <w:rPr>
                <w:color w:val="58595B"/>
                <w:sz w:val="17"/>
              </w:rPr>
              <w:t>).</w:t>
            </w:r>
          </w:p>
          <w:p>
            <w:pPr>
              <w:pStyle w:val="TableParagraph"/>
              <w:spacing w:line="271" w:lineRule="auto" w:before="109"/>
              <w:ind w:left="159" w:right="124"/>
              <w:rPr>
                <w:sz w:val="17"/>
              </w:rPr>
            </w:pPr>
            <w:r>
              <w:rPr>
                <w:color w:val="58595B"/>
                <w:sz w:val="17"/>
              </w:rPr>
              <w:t>Que les projections incluent uniquement les salaires des enseignants ou plusieurs autres types de dépenses stratégiques et opérationnelles (supports d’apprentissage, entretien, etc.), il convient d’estimer le « reste » des coûts en pourcentage global du total des dépenses courantes du sous-secteur. Ces coûts restants peuvent être considérés comme les « frais généraux » nécessaires au fonctionnement des principaux services d’EPE.</w:t>
            </w:r>
          </w:p>
        </w:tc>
      </w:tr>
    </w:tbl>
    <w:p>
      <w:pPr>
        <w:spacing w:after="0" w:line="271" w:lineRule="auto"/>
        <w:rPr>
          <w:sz w:val="17"/>
        </w:rPr>
        <w:sectPr>
          <w:pgSz w:w="15840" w:h="12240" w:orient="landscape"/>
          <w:pgMar w:header="314" w:footer="0" w:top="660" w:bottom="280" w:left="600" w:right="340"/>
        </w:sectPr>
      </w:pPr>
    </w:p>
    <w:p>
      <w:pPr>
        <w:pStyle w:val="BodyText"/>
        <w:spacing w:before="10"/>
        <w:rPr>
          <w:rFonts w:ascii="Times New Roman"/>
          <w:sz w:val="25"/>
        </w:rPr>
      </w:pPr>
    </w:p>
    <w:tbl>
      <w:tblPr>
        <w:tblW w:w="0" w:type="auto"/>
        <w:jc w:val="left"/>
        <w:tblInd w:w="382"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929"/>
        <w:gridCol w:w="1833"/>
        <w:gridCol w:w="3396"/>
        <w:gridCol w:w="2009"/>
        <w:gridCol w:w="5188"/>
      </w:tblGrid>
      <w:tr>
        <w:trPr>
          <w:trHeight w:val="491" w:hRule="atLeast"/>
        </w:trPr>
        <w:tc>
          <w:tcPr>
            <w:tcW w:w="1929" w:type="dxa"/>
            <w:tcBorders>
              <w:left w:val="nil"/>
              <w:right w:val="nil"/>
            </w:tcBorders>
          </w:tcPr>
          <w:p>
            <w:pPr>
              <w:pStyle w:val="TableParagraph"/>
              <w:spacing w:before="142"/>
              <w:ind w:left="543"/>
              <w:rPr>
                <w:b/>
                <w:sz w:val="18"/>
              </w:rPr>
            </w:pPr>
            <w:r>
              <w:rPr>
                <w:b/>
                <w:color w:val="58595B"/>
                <w:sz w:val="18"/>
              </w:rPr>
              <w:t>Indicateur</w:t>
            </w:r>
          </w:p>
        </w:tc>
        <w:tc>
          <w:tcPr>
            <w:tcW w:w="1833" w:type="dxa"/>
            <w:tcBorders>
              <w:left w:val="nil"/>
              <w:right w:val="nil"/>
            </w:tcBorders>
          </w:tcPr>
          <w:p>
            <w:pPr>
              <w:pStyle w:val="TableParagraph"/>
              <w:spacing w:before="142"/>
              <w:ind w:left="524"/>
              <w:rPr>
                <w:b/>
                <w:sz w:val="18"/>
              </w:rPr>
            </w:pPr>
            <w:r>
              <w:rPr>
                <w:b/>
                <w:color w:val="58595B"/>
                <w:sz w:val="18"/>
              </w:rPr>
              <w:t>Variantes</w:t>
            </w:r>
          </w:p>
        </w:tc>
        <w:tc>
          <w:tcPr>
            <w:tcW w:w="3396" w:type="dxa"/>
            <w:tcBorders>
              <w:left w:val="nil"/>
              <w:right w:val="nil"/>
            </w:tcBorders>
          </w:tcPr>
          <w:p>
            <w:pPr>
              <w:pStyle w:val="TableParagraph"/>
              <w:spacing w:before="142"/>
              <w:ind w:left="1277" w:right="1249"/>
              <w:jc w:val="center"/>
              <w:rPr>
                <w:b/>
                <w:sz w:val="18"/>
              </w:rPr>
            </w:pPr>
            <w:r>
              <w:rPr>
                <w:b/>
                <w:color w:val="58595B"/>
                <w:sz w:val="18"/>
              </w:rPr>
              <w:t>Définition</w:t>
            </w:r>
          </w:p>
        </w:tc>
        <w:tc>
          <w:tcPr>
            <w:tcW w:w="2009" w:type="dxa"/>
            <w:tcBorders>
              <w:left w:val="nil"/>
              <w:right w:val="nil"/>
            </w:tcBorders>
          </w:tcPr>
          <w:p>
            <w:pPr>
              <w:pStyle w:val="TableParagraph"/>
              <w:spacing w:line="232" w:lineRule="auto" w:before="47"/>
              <w:ind w:left="63" w:right="15" w:firstLine="409"/>
              <w:rPr>
                <w:b/>
                <w:sz w:val="18"/>
              </w:rPr>
            </w:pPr>
            <w:r>
              <w:rPr>
                <w:b/>
                <w:color w:val="58595B"/>
                <w:sz w:val="18"/>
              </w:rPr>
              <w:t>Source(s) de données potentielle(s)</w:t>
            </w:r>
          </w:p>
        </w:tc>
        <w:tc>
          <w:tcPr>
            <w:tcW w:w="5188" w:type="dxa"/>
            <w:tcBorders>
              <w:left w:val="nil"/>
              <w:right w:val="nil"/>
            </w:tcBorders>
          </w:tcPr>
          <w:p>
            <w:pPr>
              <w:pStyle w:val="TableParagraph"/>
              <w:spacing w:before="142"/>
              <w:ind w:left="2008" w:right="1988"/>
              <w:jc w:val="center"/>
              <w:rPr>
                <w:b/>
                <w:sz w:val="18"/>
              </w:rPr>
            </w:pPr>
            <w:r>
              <w:rPr>
                <w:b/>
                <w:color w:val="58595B"/>
                <w:sz w:val="18"/>
              </w:rPr>
              <w:t>Observations</w:t>
            </w:r>
          </w:p>
        </w:tc>
      </w:tr>
      <w:tr>
        <w:trPr>
          <w:trHeight w:val="1402" w:hRule="atLeast"/>
        </w:trPr>
        <w:tc>
          <w:tcPr>
            <w:tcW w:w="14355" w:type="dxa"/>
            <w:gridSpan w:val="5"/>
            <w:tcBorders>
              <w:left w:val="single" w:sz="12" w:space="0" w:color="FFFFFF"/>
              <w:bottom w:val="single" w:sz="12" w:space="0" w:color="FFFFFF"/>
              <w:right w:val="single" w:sz="12" w:space="0" w:color="FFFFFF"/>
            </w:tcBorders>
            <w:shd w:val="clear" w:color="auto" w:fill="F5F5F5"/>
          </w:tcPr>
          <w:p>
            <w:pPr>
              <w:pStyle w:val="TableParagraph"/>
              <w:spacing w:line="278" w:lineRule="auto" w:before="118"/>
              <w:ind w:left="167" w:right="119"/>
              <w:rPr>
                <w:sz w:val="18"/>
              </w:rPr>
            </w:pPr>
            <w:r>
              <w:rPr>
                <w:b/>
                <w:color w:val="58595B"/>
                <w:sz w:val="18"/>
              </w:rPr>
              <w:t>Moyens opérationnels. </w:t>
            </w:r>
            <w:r>
              <w:rPr>
                <w:color w:val="58595B"/>
                <w:sz w:val="18"/>
              </w:rPr>
              <w:t>Les indicateurs suivants portent sur le coût unitaire des moyens qui seront nécessaires à la mise en œuvre du plan sectoriel d’éducation et des mesures qui lui sont associées (politiques, normes, suivi et assurance qualité, etc.). Ils sont principalement utilisés pour chiffrer le plan opérationnel (ou plan d’action, selon le contexte). Quelques exemples sont donnés ci-après. L’analyse du secteur de l’éducation peut permettre de recueillir des données afin de calculer ces indicateurs, bien que ces derniers puissent être, et sont souvent, calculés ultérieurement dans le cadre du plan opérationnel (raison pour laquelle ils sont considérés comme non essentiels à ce stade). La boîte à outils fournit des détails complémentaires dans la </w:t>
            </w:r>
            <w:hyperlink r:id="rId50">
              <w:r>
                <w:rPr>
                  <w:color w:val="58595B"/>
                  <w:sz w:val="18"/>
                  <w:u w:val="single" w:color="58595B"/>
                </w:rPr>
                <w:t>section 4 relative aux plans opérationnels</w:t>
              </w:r>
            </w:hyperlink>
            <w:r>
              <w:rPr>
                <w:color w:val="58595B"/>
                <w:sz w:val="18"/>
              </w:rPr>
              <w:t>.</w:t>
            </w:r>
          </w:p>
        </w:tc>
      </w:tr>
      <w:tr>
        <w:trPr>
          <w:trHeight w:val="1533"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991285" cy="135350"/>
                  <wp:effectExtent l="0" t="0" r="0" b="0"/>
                  <wp:docPr id="79" name="image39.png" descr=""/>
                  <wp:cNvGraphicFramePr>
                    <a:graphicFrameLocks noChangeAspect="1"/>
                  </wp:cNvGraphicFramePr>
                  <a:graphic>
                    <a:graphicData uri="http://schemas.openxmlformats.org/drawingml/2006/picture">
                      <pic:pic>
                        <pic:nvPicPr>
                          <pic:cNvPr id="80" name="image39.png"/>
                          <pic:cNvPicPr/>
                        </pic:nvPicPr>
                        <pic:blipFill>
                          <a:blip r:embed="rId51" cstate="print"/>
                          <a:stretch>
                            <a:fillRect/>
                          </a:stretch>
                        </pic:blipFill>
                        <pic:spPr>
                          <a:xfrm>
                            <a:off x="0" y="0"/>
                            <a:ext cx="991285"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591"/>
              <w:rPr>
                <w:b/>
                <w:sz w:val="18"/>
              </w:rPr>
            </w:pPr>
            <w:r>
              <w:rPr>
                <w:b/>
                <w:color w:val="58595B"/>
                <w:sz w:val="18"/>
              </w:rPr>
              <w:t>Coûts d’impression</w:t>
            </w:r>
          </w:p>
        </w:tc>
        <w:tc>
          <w:tcPr>
            <w:tcW w:w="1833"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10"/>
              <w:rPr>
                <w:rFonts w:ascii="Times New Roman"/>
                <w:sz w:val="19"/>
              </w:rPr>
            </w:pPr>
          </w:p>
          <w:p>
            <w:pPr>
              <w:pStyle w:val="TableParagraph"/>
              <w:spacing w:line="271" w:lineRule="auto" w:before="1"/>
              <w:ind w:left="160" w:right="385"/>
              <w:rPr>
                <w:sz w:val="17"/>
              </w:rPr>
            </w:pPr>
            <w:r>
              <w:rPr>
                <w:color w:val="58595B"/>
                <w:sz w:val="17"/>
              </w:rPr>
              <w:t>Par type d’impression (noir et blanc ou couleur), format, type de papier</w:t>
            </w:r>
          </w:p>
        </w:tc>
        <w:tc>
          <w:tcPr>
            <w:tcW w:w="3396"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21"/>
              </w:rPr>
            </w:pPr>
          </w:p>
          <w:p>
            <w:pPr>
              <w:pStyle w:val="TableParagraph"/>
              <w:spacing w:line="271" w:lineRule="auto" w:before="1"/>
              <w:ind w:left="411" w:right="382" w:hanging="1"/>
              <w:jc w:val="center"/>
              <w:rPr>
                <w:sz w:val="17"/>
              </w:rPr>
            </w:pPr>
            <w:r>
              <w:rPr>
                <w:color w:val="58595B"/>
                <w:sz w:val="17"/>
              </w:rPr>
              <w:t>Prix d’impression d’un document d’une page extrait d’un support de communication</w:t>
            </w: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119"/>
              <w:ind w:left="172"/>
              <w:rPr>
                <w:sz w:val="17"/>
              </w:rPr>
            </w:pPr>
            <w:r>
              <w:rPr>
                <w:color w:val="58595B"/>
                <w:sz w:val="17"/>
              </w:rPr>
              <w:t>Service des achats</w:t>
            </w:r>
          </w:p>
          <w:p>
            <w:pPr>
              <w:pStyle w:val="TableParagraph"/>
              <w:spacing w:before="3"/>
              <w:rPr>
                <w:rFonts w:ascii="Times New Roman"/>
                <w:sz w:val="21"/>
              </w:rPr>
            </w:pPr>
          </w:p>
          <w:p>
            <w:pPr>
              <w:pStyle w:val="TableParagraph"/>
              <w:ind w:left="172"/>
              <w:rPr>
                <w:i/>
                <w:sz w:val="17"/>
              </w:rPr>
            </w:pPr>
            <w:r>
              <w:rPr>
                <w:i/>
                <w:color w:val="58595B"/>
                <w:sz w:val="17"/>
              </w:rPr>
              <w:t>et/ou</w:t>
            </w:r>
          </w:p>
          <w:p>
            <w:pPr>
              <w:pStyle w:val="TableParagraph"/>
              <w:spacing w:before="3"/>
              <w:rPr>
                <w:rFonts w:ascii="Times New Roman"/>
                <w:sz w:val="21"/>
              </w:rPr>
            </w:pPr>
          </w:p>
          <w:p>
            <w:pPr>
              <w:pStyle w:val="TableParagraph"/>
              <w:ind w:left="172"/>
              <w:rPr>
                <w:sz w:val="17"/>
              </w:rPr>
            </w:pPr>
            <w:r>
              <w:rPr>
                <w:color w:val="58595B"/>
                <w:sz w:val="17"/>
              </w:rPr>
              <w:t>Étude de marché</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r>
      <w:tr>
        <w:trPr>
          <w:trHeight w:val="1533"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0" w:lineRule="exact"/>
              <w:ind w:left="167"/>
              <w:rPr>
                <w:rFonts w:ascii="Times New Roman"/>
                <w:sz w:val="20"/>
              </w:rPr>
            </w:pPr>
            <w:r>
              <w:rPr>
                <w:rFonts w:ascii="Times New Roman"/>
                <w:position w:val="-3"/>
                <w:sz w:val="20"/>
              </w:rPr>
              <w:drawing>
                <wp:inline distT="0" distB="0" distL="0" distR="0">
                  <wp:extent cx="976635" cy="133350"/>
                  <wp:effectExtent l="0" t="0" r="0" b="0"/>
                  <wp:docPr id="81" name="image8.png" descr=""/>
                  <wp:cNvGraphicFramePr>
                    <a:graphicFrameLocks noChangeAspect="1"/>
                  </wp:cNvGraphicFramePr>
                  <a:graphic>
                    <a:graphicData uri="http://schemas.openxmlformats.org/drawingml/2006/picture">
                      <pic:pic>
                        <pic:nvPicPr>
                          <pic:cNvPr id="82" name="image8.png"/>
                          <pic:cNvPicPr/>
                        </pic:nvPicPr>
                        <pic:blipFill>
                          <a:blip r:embed="rId15" cstate="print"/>
                          <a:stretch>
                            <a:fillRect/>
                          </a:stretch>
                        </pic:blipFill>
                        <pic:spPr>
                          <a:xfrm>
                            <a:off x="0" y="0"/>
                            <a:ext cx="976635" cy="133350"/>
                          </a:xfrm>
                          <a:prstGeom prst="rect">
                            <a:avLst/>
                          </a:prstGeom>
                        </pic:spPr>
                      </pic:pic>
                    </a:graphicData>
                  </a:graphic>
                </wp:inline>
              </w:drawing>
            </w:r>
            <w:r>
              <w:rPr>
                <w:rFonts w:ascii="Times New Roman"/>
                <w:position w:val="-3"/>
                <w:sz w:val="20"/>
              </w:rPr>
            </w:r>
          </w:p>
          <w:p>
            <w:pPr>
              <w:pStyle w:val="TableParagraph"/>
              <w:spacing w:line="278" w:lineRule="auto" w:before="73"/>
              <w:ind w:left="167" w:right="161"/>
              <w:rPr>
                <w:b/>
                <w:sz w:val="18"/>
              </w:rPr>
            </w:pPr>
            <w:r>
              <w:rPr>
                <w:b/>
                <w:color w:val="58595B"/>
                <w:sz w:val="18"/>
              </w:rPr>
              <w:t>Coûts des ateliers et des réunions externes</w:t>
            </w:r>
          </w:p>
        </w:tc>
        <w:tc>
          <w:tcPr>
            <w:tcW w:w="1833"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4"/>
              <w:rPr>
                <w:rFonts w:ascii="Times New Roman"/>
                <w:sz w:val="22"/>
              </w:rPr>
            </w:pPr>
          </w:p>
          <w:p>
            <w:pPr>
              <w:pStyle w:val="TableParagraph"/>
              <w:spacing w:line="271" w:lineRule="auto"/>
              <w:ind w:left="160" w:right="517"/>
              <w:rPr>
                <w:sz w:val="17"/>
              </w:rPr>
            </w:pPr>
            <w:r>
              <w:rPr>
                <w:color w:val="58595B"/>
                <w:sz w:val="17"/>
              </w:rPr>
              <w:t>Par lieu, durée et nombre de participants</w:t>
            </w:r>
          </w:p>
        </w:tc>
        <w:tc>
          <w:tcPr>
            <w:tcW w:w="3396" w:type="dxa"/>
            <w:vMerge w:val="restart"/>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rPr>
                <w:rFonts w:ascii="Times New Roman"/>
                <w:sz w:val="18"/>
              </w:rPr>
            </w:pPr>
          </w:p>
          <w:p>
            <w:pPr>
              <w:pStyle w:val="TableParagraph"/>
              <w:spacing w:before="2"/>
              <w:rPr>
                <w:rFonts w:ascii="Times New Roman"/>
                <w:sz w:val="21"/>
              </w:rPr>
            </w:pPr>
          </w:p>
          <w:p>
            <w:pPr>
              <w:pStyle w:val="TableParagraph"/>
              <w:spacing w:line="271" w:lineRule="auto" w:before="1"/>
              <w:ind w:left="350" w:right="320"/>
              <w:jc w:val="center"/>
              <w:rPr>
                <w:sz w:val="17"/>
              </w:rPr>
            </w:pPr>
            <w:r>
              <w:rPr>
                <w:color w:val="58595B"/>
                <w:sz w:val="17"/>
              </w:rPr>
              <w:t>Ensemble des coûts couverts par le ministère de l’éducation : transport, hébergement, repas, indemnités journalières, location de salles de réunion, impressions, etc.</w:t>
            </w: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119"/>
              <w:ind w:left="172"/>
              <w:rPr>
                <w:sz w:val="17"/>
              </w:rPr>
            </w:pPr>
            <w:r>
              <w:rPr>
                <w:color w:val="58595B"/>
                <w:sz w:val="17"/>
              </w:rPr>
              <w:t>Service des achats</w:t>
            </w:r>
          </w:p>
          <w:p>
            <w:pPr>
              <w:pStyle w:val="TableParagraph"/>
              <w:spacing w:before="3"/>
              <w:rPr>
                <w:rFonts w:ascii="Times New Roman"/>
                <w:sz w:val="21"/>
              </w:rPr>
            </w:pPr>
          </w:p>
          <w:p>
            <w:pPr>
              <w:pStyle w:val="TableParagraph"/>
              <w:ind w:left="172"/>
              <w:rPr>
                <w:i/>
                <w:sz w:val="17"/>
              </w:rPr>
            </w:pPr>
            <w:r>
              <w:rPr>
                <w:i/>
                <w:color w:val="58595B"/>
                <w:sz w:val="17"/>
              </w:rPr>
              <w:t>et/ou</w:t>
            </w:r>
          </w:p>
          <w:p>
            <w:pPr>
              <w:pStyle w:val="TableParagraph"/>
              <w:spacing w:before="3"/>
              <w:rPr>
                <w:rFonts w:ascii="Times New Roman"/>
                <w:sz w:val="21"/>
              </w:rPr>
            </w:pPr>
          </w:p>
          <w:p>
            <w:pPr>
              <w:pStyle w:val="TableParagraph"/>
              <w:ind w:left="172"/>
              <w:rPr>
                <w:sz w:val="17"/>
              </w:rPr>
            </w:pPr>
            <w:r>
              <w:rPr>
                <w:color w:val="58595B"/>
                <w:sz w:val="17"/>
              </w:rPr>
              <w:t>Étude de marché</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8"/>
              </w:rPr>
            </w:pPr>
          </w:p>
          <w:p>
            <w:pPr>
              <w:pStyle w:val="TableParagraph"/>
              <w:rPr>
                <w:rFonts w:ascii="Times New Roman"/>
                <w:sz w:val="18"/>
              </w:rPr>
            </w:pPr>
          </w:p>
          <w:p>
            <w:pPr>
              <w:pStyle w:val="TableParagraph"/>
              <w:spacing w:line="271" w:lineRule="auto" w:before="145"/>
              <w:ind w:left="165"/>
              <w:rPr>
                <w:sz w:val="17"/>
              </w:rPr>
            </w:pPr>
            <w:r>
              <w:rPr>
                <w:color w:val="58595B"/>
                <w:sz w:val="17"/>
              </w:rPr>
              <w:t>Veuillez vous reporter à l’exemple de matrice des coûts unitaires du Ghana (dans les </w:t>
            </w:r>
            <w:hyperlink r:id="rId52">
              <w:r>
                <w:rPr>
                  <w:color w:val="58595B"/>
                  <w:sz w:val="17"/>
                  <w:u w:val="single" w:color="58595B"/>
                </w:rPr>
                <w:t>Ressources complémentaires</w:t>
              </w:r>
            </w:hyperlink>
            <w:r>
              <w:rPr>
                <w:color w:val="58595B"/>
                <w:sz w:val="17"/>
              </w:rPr>
              <w:t>).</w:t>
            </w:r>
          </w:p>
        </w:tc>
      </w:tr>
      <w:tr>
        <w:trPr>
          <w:trHeight w:val="1247" w:hRule="atLeast"/>
        </w:trPr>
        <w:tc>
          <w:tcPr>
            <w:tcW w:w="192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5"/>
              <w:rPr>
                <w:rFonts w:ascii="Times New Roman"/>
                <w:sz w:val="13"/>
              </w:rPr>
            </w:pPr>
          </w:p>
          <w:p>
            <w:pPr>
              <w:pStyle w:val="TableParagraph"/>
              <w:spacing w:line="213" w:lineRule="exact"/>
              <w:ind w:left="167"/>
              <w:rPr>
                <w:rFonts w:ascii="Times New Roman"/>
                <w:sz w:val="20"/>
              </w:rPr>
            </w:pPr>
            <w:r>
              <w:rPr>
                <w:rFonts w:ascii="Times New Roman"/>
                <w:position w:val="-3"/>
                <w:sz w:val="20"/>
              </w:rPr>
              <w:drawing>
                <wp:inline distT="0" distB="0" distL="0" distR="0">
                  <wp:extent cx="991285" cy="135350"/>
                  <wp:effectExtent l="0" t="0" r="0" b="0"/>
                  <wp:docPr id="83" name="image40.png" descr=""/>
                  <wp:cNvGraphicFramePr>
                    <a:graphicFrameLocks noChangeAspect="1"/>
                  </wp:cNvGraphicFramePr>
                  <a:graphic>
                    <a:graphicData uri="http://schemas.openxmlformats.org/drawingml/2006/picture">
                      <pic:pic>
                        <pic:nvPicPr>
                          <pic:cNvPr id="84" name="image40.png"/>
                          <pic:cNvPicPr/>
                        </pic:nvPicPr>
                        <pic:blipFill>
                          <a:blip r:embed="rId53" cstate="print"/>
                          <a:stretch>
                            <a:fillRect/>
                          </a:stretch>
                        </pic:blipFill>
                        <pic:spPr>
                          <a:xfrm>
                            <a:off x="0" y="0"/>
                            <a:ext cx="991285" cy="135350"/>
                          </a:xfrm>
                          <a:prstGeom prst="rect">
                            <a:avLst/>
                          </a:prstGeom>
                        </pic:spPr>
                      </pic:pic>
                    </a:graphicData>
                  </a:graphic>
                </wp:inline>
              </w:drawing>
            </w:r>
            <w:r>
              <w:rPr>
                <w:rFonts w:ascii="Times New Roman"/>
                <w:position w:val="-3"/>
                <w:sz w:val="20"/>
              </w:rPr>
            </w:r>
          </w:p>
          <w:p>
            <w:pPr>
              <w:pStyle w:val="TableParagraph"/>
              <w:spacing w:line="278" w:lineRule="auto" w:before="70"/>
              <w:ind w:left="167" w:right="251"/>
              <w:rPr>
                <w:b/>
                <w:sz w:val="18"/>
              </w:rPr>
            </w:pPr>
            <w:r>
              <w:rPr>
                <w:b/>
                <w:color w:val="58595B"/>
                <w:sz w:val="18"/>
              </w:rPr>
              <w:t>Coût des interventions sur le terrain</w:t>
            </w:r>
          </w:p>
        </w:tc>
        <w:tc>
          <w:tcPr>
            <w:tcW w:w="1833"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3396" w:type="dxa"/>
            <w:vMerge/>
            <w:tcBorders>
              <w:top w:val="nil"/>
              <w:left w:val="single" w:sz="12" w:space="0" w:color="FFFFFF"/>
              <w:bottom w:val="single" w:sz="12" w:space="0" w:color="FFFFFF"/>
              <w:right w:val="single" w:sz="12" w:space="0" w:color="FFFFFF"/>
            </w:tcBorders>
            <w:shd w:val="clear" w:color="auto" w:fill="E6F2D9"/>
          </w:tcPr>
          <w:p>
            <w:pPr>
              <w:rPr>
                <w:sz w:val="2"/>
                <w:szCs w:val="2"/>
              </w:rPr>
            </w:pPr>
          </w:p>
        </w:tc>
        <w:tc>
          <w:tcPr>
            <w:tcW w:w="2009"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spacing w:before="9"/>
              <w:rPr>
                <w:rFonts w:ascii="Times New Roman"/>
                <w:sz w:val="16"/>
              </w:rPr>
            </w:pPr>
          </w:p>
          <w:p>
            <w:pPr>
              <w:pStyle w:val="TableParagraph"/>
              <w:spacing w:line="271" w:lineRule="auto"/>
              <w:ind w:left="172" w:right="237"/>
              <w:rPr>
                <w:sz w:val="17"/>
              </w:rPr>
            </w:pPr>
            <w:r>
              <w:rPr>
                <w:color w:val="58595B"/>
                <w:sz w:val="17"/>
              </w:rPr>
              <w:t>Service des achats Services ministériels intervenant sur le terrain</w:t>
            </w:r>
          </w:p>
        </w:tc>
        <w:tc>
          <w:tcPr>
            <w:tcW w:w="5188" w:type="dxa"/>
            <w:tcBorders>
              <w:top w:val="single" w:sz="12" w:space="0" w:color="FFFFFF"/>
              <w:left w:val="single" w:sz="12" w:space="0" w:color="FFFFFF"/>
              <w:bottom w:val="single" w:sz="12" w:space="0" w:color="FFFFFF"/>
              <w:right w:val="single" w:sz="12" w:space="0" w:color="FFFFFF"/>
            </w:tcBorders>
            <w:shd w:val="clear" w:color="auto" w:fill="E6F2D9"/>
          </w:tcPr>
          <w:p>
            <w:pPr>
              <w:pStyle w:val="TableParagraph"/>
              <w:rPr>
                <w:rFonts w:ascii="Times New Roman"/>
                <w:sz w:val="16"/>
              </w:rPr>
            </w:pPr>
          </w:p>
        </w:tc>
      </w:tr>
    </w:tbl>
    <w:p>
      <w:pPr>
        <w:spacing w:after="0"/>
        <w:rPr>
          <w:rFonts w:ascii="Times New Roman"/>
          <w:sz w:val="16"/>
        </w:rPr>
        <w:sectPr>
          <w:pgSz w:w="15840" w:h="12240" w:orient="landscape"/>
          <w:pgMar w:header="314" w:footer="0" w:top="660" w:bottom="280" w:left="600" w:right="340"/>
        </w:sectPr>
      </w:pPr>
    </w:p>
    <w:p>
      <w:pPr>
        <w:pStyle w:val="BodyText"/>
        <w:spacing w:before="11"/>
        <w:rPr>
          <w:rFonts w:ascii="Times New Roman"/>
          <w:sz w:val="16"/>
        </w:rPr>
      </w:pPr>
      <w:r>
        <w:rPr/>
        <w:pict>
          <v:line style="position:absolute;mso-position-horizontal-relative:page;mso-position-vertical-relative:page;z-index:-44680" from="331.18869pt,416.827789pt" to="333.550690pt,416.827789pt" stroked="true" strokeweight=".3pt" strokecolor="#000000">
            <v:stroke dashstyle="solid"/>
            <w10:wrap type="none"/>
          </v:line>
        </w:pict>
      </w:r>
      <w:r>
        <w:rPr/>
        <w:pict>
          <v:line style="position:absolute;mso-position-horizontal-relative:page;mso-position-vertical-relative:page;z-index:-44656" from="179.376999pt,412.164612pt" to="510.934999pt,412.164612pt" stroked="true" strokeweight=".35pt" strokecolor="#000000">
            <v:stroke dashstyle="solid"/>
            <w10:wrap type="none"/>
          </v:line>
        </w:pict>
      </w:r>
    </w:p>
    <w:p>
      <w:pPr>
        <w:spacing w:before="91"/>
        <w:ind w:left="2505" w:right="2728" w:firstLine="0"/>
        <w:jc w:val="center"/>
        <w:rPr>
          <w:sz w:val="28"/>
        </w:rPr>
      </w:pPr>
      <w:r>
        <w:rPr>
          <w:color w:val="913592"/>
          <w:sz w:val="28"/>
        </w:rPr>
        <w:t>ANNEXE</w:t>
      </w:r>
    </w:p>
    <w:p>
      <w:pPr>
        <w:pStyle w:val="Heading1"/>
        <w:spacing w:line="208" w:lineRule="auto"/>
        <w:ind w:right="2730" w:firstLine="0"/>
        <w:jc w:val="center"/>
      </w:pPr>
      <w:r>
        <w:rPr>
          <w:color w:val="913592"/>
        </w:rPr>
        <w:t>EXEMPLES DE PROJECTIONS DES DÉPENSES CONSACRÉES À L’EPE, PAR NIVEAUX CROISSANTS DE COMPLEXITÉ ET DE PRÉCISION</w:t>
      </w:r>
    </w:p>
    <w:p>
      <w:pPr>
        <w:pStyle w:val="BodyText"/>
        <w:rPr>
          <w:b/>
        </w:rPr>
      </w:pPr>
    </w:p>
    <w:p>
      <w:pPr>
        <w:pStyle w:val="BodyText"/>
        <w:spacing w:before="7"/>
        <w:rPr>
          <w:b/>
          <w:sz w:val="25"/>
        </w:rPr>
      </w:pPr>
    </w:p>
    <w:tbl>
      <w:tblPr>
        <w:tblW w:w="0" w:type="auto"/>
        <w:jc w:val="left"/>
        <w:tblInd w:w="54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1847"/>
        <w:gridCol w:w="7405"/>
        <w:gridCol w:w="4331"/>
      </w:tblGrid>
      <w:tr>
        <w:trPr>
          <w:trHeight w:val="473" w:hRule="atLeast"/>
        </w:trPr>
        <w:tc>
          <w:tcPr>
            <w:tcW w:w="9252" w:type="dxa"/>
            <w:gridSpan w:val="2"/>
            <w:tcBorders>
              <w:left w:val="nil"/>
            </w:tcBorders>
          </w:tcPr>
          <w:p>
            <w:pPr>
              <w:pStyle w:val="TableParagraph"/>
              <w:spacing w:before="122"/>
              <w:ind w:left="2086"/>
              <w:rPr>
                <w:b/>
                <w:sz w:val="20"/>
              </w:rPr>
            </w:pPr>
            <w:r>
              <w:rPr>
                <w:b/>
                <w:color w:val="913592"/>
                <w:sz w:val="20"/>
              </w:rPr>
              <w:t>Description du modèle et indicateurs correspondants</w:t>
            </w:r>
          </w:p>
        </w:tc>
        <w:tc>
          <w:tcPr>
            <w:tcW w:w="4331" w:type="dxa"/>
            <w:tcBorders>
              <w:right w:val="nil"/>
            </w:tcBorders>
          </w:tcPr>
          <w:p>
            <w:pPr>
              <w:pStyle w:val="TableParagraph"/>
              <w:spacing w:before="122"/>
              <w:ind w:left="1503" w:right="1504"/>
              <w:jc w:val="center"/>
              <w:rPr>
                <w:b/>
                <w:sz w:val="20"/>
              </w:rPr>
            </w:pPr>
            <w:r>
              <w:rPr>
                <w:b/>
                <w:color w:val="913592"/>
                <w:sz w:val="20"/>
              </w:rPr>
              <w:t>Observations</w:t>
            </w:r>
          </w:p>
        </w:tc>
      </w:tr>
      <w:tr>
        <w:trPr>
          <w:trHeight w:val="1553" w:hRule="atLeast"/>
        </w:trPr>
        <w:tc>
          <w:tcPr>
            <w:tcW w:w="1847" w:type="dxa"/>
            <w:tcBorders>
              <w:left w:val="nil"/>
              <w:right w:val="nil"/>
            </w:tcBorders>
          </w:tcPr>
          <w:p>
            <w:pPr>
              <w:pStyle w:val="TableParagraph"/>
              <w:rPr>
                <w:b/>
                <w:sz w:val="18"/>
              </w:rPr>
            </w:pPr>
          </w:p>
          <w:p>
            <w:pPr>
              <w:pStyle w:val="TableParagraph"/>
              <w:rPr>
                <w:b/>
                <w:sz w:val="18"/>
              </w:rPr>
            </w:pPr>
          </w:p>
          <w:p>
            <w:pPr>
              <w:pStyle w:val="TableParagraph"/>
              <w:spacing w:line="271" w:lineRule="auto" w:before="155"/>
              <w:ind w:right="206"/>
              <w:rPr>
                <w:sz w:val="17"/>
              </w:rPr>
            </w:pPr>
            <w:r>
              <w:rPr>
                <w:b/>
                <w:color w:val="913592"/>
                <w:sz w:val="17"/>
              </w:rPr>
              <w:t>Modèle 0 </w:t>
            </w:r>
            <w:r>
              <w:rPr>
                <w:color w:val="58595B"/>
                <w:sz w:val="17"/>
              </w:rPr>
              <w:t>Dépenses consacrées à l’EPE =</w:t>
            </w:r>
          </w:p>
        </w:tc>
        <w:tc>
          <w:tcPr>
            <w:tcW w:w="7405" w:type="dxa"/>
            <w:tcBorders>
              <w:left w:val="nil"/>
              <w:right w:val="single" w:sz="4" w:space="0" w:color="ACACAD"/>
            </w:tcBorders>
          </w:tcPr>
          <w:p>
            <w:pPr>
              <w:pStyle w:val="TableParagraph"/>
              <w:rPr>
                <w:b/>
                <w:sz w:val="18"/>
              </w:rPr>
            </w:pPr>
          </w:p>
          <w:p>
            <w:pPr>
              <w:pStyle w:val="TableParagraph"/>
              <w:rPr>
                <w:b/>
                <w:sz w:val="18"/>
              </w:rPr>
            </w:pPr>
          </w:p>
          <w:p>
            <w:pPr>
              <w:pStyle w:val="TableParagraph"/>
              <w:spacing w:line="271" w:lineRule="auto" w:before="155"/>
              <w:ind w:left="2796" w:right="921" w:hanging="1876"/>
              <w:rPr>
                <w:sz w:val="17"/>
              </w:rPr>
            </w:pPr>
            <w:r>
              <w:rPr>
                <w:color w:val="58595B"/>
                <w:sz w:val="17"/>
              </w:rPr>
              <w:t>Dépenses consacrées à l’EPE en pourcentage des dépenses d’éducation x dépenses d’éducation</w:t>
            </w:r>
          </w:p>
        </w:tc>
        <w:tc>
          <w:tcPr>
            <w:tcW w:w="4331" w:type="dxa"/>
            <w:tcBorders>
              <w:left w:val="single" w:sz="4" w:space="0" w:color="ACACAD"/>
              <w:right w:val="nil"/>
            </w:tcBorders>
          </w:tcPr>
          <w:p>
            <w:pPr>
              <w:pStyle w:val="TableParagraph"/>
              <w:spacing w:line="271" w:lineRule="auto" w:before="129"/>
              <w:ind w:left="165" w:right="253"/>
              <w:rPr>
                <w:sz w:val="17"/>
              </w:rPr>
            </w:pPr>
            <w:r>
              <w:rPr>
                <w:color w:val="58595B"/>
                <w:sz w:val="17"/>
              </w:rPr>
              <w:t>Il ne s’agit pas d’un véritable modèle de projection mais d’une simple projection du budget de l’EPE  en pourcentage du total des dépenses d’éducation. Ce modèle n’apporte aucun détail concernant les modalités futures de gestion ou d’amélioration des services</w:t>
            </w:r>
            <w:r>
              <w:rPr>
                <w:color w:val="58595B"/>
                <w:spacing w:val="2"/>
                <w:sz w:val="17"/>
              </w:rPr>
              <w:t> </w:t>
            </w:r>
            <w:r>
              <w:rPr>
                <w:color w:val="58595B"/>
                <w:sz w:val="17"/>
              </w:rPr>
              <w:t>d’EPE.</w:t>
            </w:r>
          </w:p>
        </w:tc>
      </w:tr>
      <w:tr>
        <w:trPr>
          <w:trHeight w:val="1993" w:hRule="atLeast"/>
        </w:trPr>
        <w:tc>
          <w:tcPr>
            <w:tcW w:w="1847" w:type="dxa"/>
            <w:tcBorders>
              <w:left w:val="nil"/>
              <w:right w:val="nil"/>
            </w:tcBorders>
          </w:tcPr>
          <w:p>
            <w:pPr>
              <w:pStyle w:val="TableParagraph"/>
              <w:rPr>
                <w:b/>
                <w:sz w:val="18"/>
              </w:rPr>
            </w:pPr>
          </w:p>
          <w:p>
            <w:pPr>
              <w:pStyle w:val="TableParagraph"/>
              <w:rPr>
                <w:b/>
                <w:sz w:val="18"/>
              </w:rPr>
            </w:pPr>
          </w:p>
          <w:p>
            <w:pPr>
              <w:pStyle w:val="TableParagraph"/>
              <w:rPr>
                <w:b/>
                <w:sz w:val="18"/>
              </w:rPr>
            </w:pPr>
          </w:p>
          <w:p>
            <w:pPr>
              <w:pStyle w:val="TableParagraph"/>
              <w:spacing w:before="7"/>
              <w:rPr>
                <w:b/>
                <w:sz w:val="14"/>
              </w:rPr>
            </w:pPr>
          </w:p>
          <w:p>
            <w:pPr>
              <w:pStyle w:val="TableParagraph"/>
              <w:spacing w:line="271" w:lineRule="auto"/>
              <w:ind w:right="206"/>
              <w:rPr>
                <w:sz w:val="17"/>
              </w:rPr>
            </w:pPr>
            <w:r>
              <w:rPr>
                <w:b/>
                <w:color w:val="913592"/>
                <w:sz w:val="17"/>
              </w:rPr>
              <w:t>Modèle 1 </w:t>
            </w:r>
            <w:r>
              <w:rPr>
                <w:color w:val="58595B"/>
                <w:sz w:val="17"/>
              </w:rPr>
              <w:t>Dépenses consacrées à l’EPE =</w:t>
            </w:r>
          </w:p>
        </w:tc>
        <w:tc>
          <w:tcPr>
            <w:tcW w:w="7405" w:type="dxa"/>
            <w:tcBorders>
              <w:left w:val="nil"/>
              <w:right w:val="single" w:sz="4" w:space="0" w:color="ACACAD"/>
            </w:tcBorders>
          </w:tcPr>
          <w:p>
            <w:pPr>
              <w:pStyle w:val="TableParagraph"/>
              <w:rPr>
                <w:b/>
                <w:sz w:val="18"/>
              </w:rPr>
            </w:pPr>
          </w:p>
          <w:p>
            <w:pPr>
              <w:pStyle w:val="TableParagraph"/>
              <w:rPr>
                <w:b/>
                <w:sz w:val="18"/>
              </w:rPr>
            </w:pPr>
          </w:p>
          <w:p>
            <w:pPr>
              <w:pStyle w:val="TableParagraph"/>
              <w:spacing w:before="2"/>
              <w:rPr>
                <w:b/>
                <w:sz w:val="15"/>
              </w:rPr>
            </w:pPr>
          </w:p>
          <w:p>
            <w:pPr>
              <w:pStyle w:val="TableParagraph"/>
              <w:spacing w:after="40"/>
              <w:ind w:left="2770"/>
              <w:rPr>
                <w:sz w:val="17"/>
              </w:rPr>
            </w:pPr>
            <w:r>
              <w:rPr>
                <w:color w:val="58595B"/>
                <w:sz w:val="17"/>
              </w:rPr>
              <w:t>Rémunération des enseignants</w:t>
            </w:r>
          </w:p>
          <w:p>
            <w:pPr>
              <w:pStyle w:val="TableParagraph"/>
              <w:spacing w:line="20" w:lineRule="exact"/>
              <w:ind w:left="2199"/>
              <w:rPr>
                <w:sz w:val="2"/>
              </w:rPr>
            </w:pPr>
            <w:r>
              <w:rPr>
                <w:sz w:val="2"/>
              </w:rPr>
              <w:pict>
                <v:group style="width:183.8pt;height:.35pt;mso-position-horizontal-relative:char;mso-position-vertical-relative:line" coordorigin="0,0" coordsize="3676,7">
                  <v:line style="position:absolute" from="0,3" to="3676,3" stroked="true" strokeweight=".35pt" strokecolor="#000000">
                    <v:stroke dashstyle="solid"/>
                  </v:line>
                </v:group>
              </w:pict>
            </w:r>
            <w:r>
              <w:rPr>
                <w:sz w:val="2"/>
              </w:rPr>
            </w:r>
          </w:p>
          <w:p>
            <w:pPr>
              <w:pStyle w:val="TableParagraph"/>
              <w:spacing w:before="55"/>
              <w:ind w:left="1611"/>
              <w:rPr>
                <w:sz w:val="17"/>
              </w:rPr>
            </w:pPr>
            <w:r>
              <w:rPr>
                <w:color w:val="58595B"/>
                <w:sz w:val="17"/>
              </w:rPr>
              <w:t>Coût unitaire public de l’EPE x Nombre estimé d’élèves</w:t>
            </w:r>
          </w:p>
        </w:tc>
        <w:tc>
          <w:tcPr>
            <w:tcW w:w="4331" w:type="dxa"/>
            <w:tcBorders>
              <w:left w:val="single" w:sz="4" w:space="0" w:color="ACACAD"/>
              <w:right w:val="nil"/>
            </w:tcBorders>
          </w:tcPr>
          <w:p>
            <w:pPr>
              <w:pStyle w:val="TableParagraph"/>
              <w:spacing w:line="271" w:lineRule="auto" w:before="129"/>
              <w:ind w:left="165" w:right="742"/>
              <w:jc w:val="both"/>
              <w:rPr>
                <w:sz w:val="17"/>
              </w:rPr>
            </w:pPr>
            <w:r>
              <w:rPr>
                <w:color w:val="58595B"/>
                <w:sz w:val="17"/>
              </w:rPr>
              <w:t>Ce modèle très simple permet de prendre en compte les différents objectifs de couverture de la population cible (taux bruts ou nets</w:t>
            </w:r>
          </w:p>
          <w:p>
            <w:pPr>
              <w:pStyle w:val="TableParagraph"/>
              <w:spacing w:line="271" w:lineRule="auto"/>
              <w:ind w:left="165" w:right="164"/>
              <w:rPr>
                <w:sz w:val="17"/>
              </w:rPr>
            </w:pPr>
            <w:r>
              <w:rPr>
                <w:color w:val="58595B"/>
                <w:sz w:val="17"/>
              </w:rPr>
              <w:t>d’inscription traduits en nombre d’élèves) et, en cas d’augmentation du coût unitaire (par exemple), de favoriser de meilleures conditions d’apprentissage (bien qu’il n’apporte aucun détail concernant les motivations et les modalités de cette augmentation).</w:t>
            </w:r>
          </w:p>
        </w:tc>
      </w:tr>
      <w:tr>
        <w:trPr>
          <w:trHeight w:val="2829" w:hRule="atLeast"/>
        </w:trPr>
        <w:tc>
          <w:tcPr>
            <w:tcW w:w="1847" w:type="dxa"/>
            <w:tcBorders>
              <w:left w:val="nil"/>
              <w:right w:val="nil"/>
            </w:tcBorders>
          </w:tcPr>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rPr>
                <w:b/>
                <w:sz w:val="18"/>
              </w:rPr>
            </w:pPr>
          </w:p>
          <w:p>
            <w:pPr>
              <w:pStyle w:val="TableParagraph"/>
              <w:rPr>
                <w:b/>
                <w:sz w:val="15"/>
              </w:rPr>
            </w:pPr>
          </w:p>
          <w:p>
            <w:pPr>
              <w:pStyle w:val="TableParagraph"/>
              <w:spacing w:line="271" w:lineRule="auto"/>
              <w:ind w:right="206"/>
              <w:rPr>
                <w:sz w:val="17"/>
              </w:rPr>
            </w:pPr>
            <w:r>
              <w:rPr>
                <w:b/>
                <w:color w:val="913592"/>
                <w:sz w:val="17"/>
              </w:rPr>
              <w:t>Modèle 2 </w:t>
            </w:r>
            <w:r>
              <w:rPr>
                <w:color w:val="58595B"/>
                <w:sz w:val="17"/>
              </w:rPr>
              <w:t>Dépenses consacrées à l’EPE =</w:t>
            </w:r>
          </w:p>
        </w:tc>
        <w:tc>
          <w:tcPr>
            <w:tcW w:w="7405" w:type="dxa"/>
            <w:tcBorders>
              <w:left w:val="nil"/>
            </w:tcBorders>
          </w:tcPr>
          <w:p>
            <w:pPr>
              <w:pStyle w:val="TableParagraph"/>
              <w:rPr>
                <w:b/>
                <w:sz w:val="18"/>
              </w:rPr>
            </w:pPr>
          </w:p>
          <w:p>
            <w:pPr>
              <w:pStyle w:val="TableParagraph"/>
              <w:rPr>
                <w:b/>
                <w:sz w:val="18"/>
              </w:rPr>
            </w:pPr>
          </w:p>
          <w:p>
            <w:pPr>
              <w:pStyle w:val="TableParagraph"/>
              <w:rPr>
                <w:b/>
                <w:sz w:val="18"/>
              </w:rPr>
            </w:pPr>
          </w:p>
          <w:p>
            <w:pPr>
              <w:pStyle w:val="TableParagraph"/>
              <w:spacing w:line="271" w:lineRule="auto" w:before="146"/>
              <w:ind w:left="1111" w:right="1129"/>
              <w:jc w:val="center"/>
              <w:rPr>
                <w:sz w:val="17"/>
              </w:rPr>
            </w:pPr>
            <w:r>
              <w:rPr>
                <w:color w:val="58595B"/>
                <w:sz w:val="17"/>
              </w:rPr>
              <w:t>Pourcentage des dépenses courantes consacrées à l’EPE affectées à la rémunération des enseignants</w:t>
            </w:r>
          </w:p>
          <w:p>
            <w:pPr>
              <w:pStyle w:val="TableParagraph"/>
              <w:spacing w:line="440" w:lineRule="atLeast" w:before="88"/>
              <w:ind w:left="1130" w:hanging="383"/>
              <w:rPr>
                <w:sz w:val="17"/>
              </w:rPr>
            </w:pPr>
            <w:r>
              <w:rPr>
                <w:color w:val="58595B"/>
                <w:sz w:val="17"/>
              </w:rPr>
              <w:t>Salaire des enseignants x Ratio élèves/enseignant x Nombre estimé d’élèves Pourcentage des dépenses courantes consacrées à l’EPE affectées</w:t>
            </w:r>
          </w:p>
          <w:p>
            <w:pPr>
              <w:pStyle w:val="TableParagraph"/>
              <w:spacing w:before="31"/>
              <w:ind w:left="1111" w:right="1129"/>
              <w:jc w:val="center"/>
              <w:rPr>
                <w:sz w:val="17"/>
              </w:rPr>
            </w:pPr>
            <w:r>
              <w:rPr>
                <w:color w:val="58595B"/>
                <w:sz w:val="17"/>
              </w:rPr>
              <w:t>à la rémunération des enseignants</w:t>
            </w:r>
          </w:p>
        </w:tc>
        <w:tc>
          <w:tcPr>
            <w:tcW w:w="4331" w:type="dxa"/>
            <w:tcBorders>
              <w:right w:val="nil"/>
            </w:tcBorders>
          </w:tcPr>
          <w:p>
            <w:pPr>
              <w:pStyle w:val="TableParagraph"/>
              <w:spacing w:before="10"/>
              <w:rPr>
                <w:b/>
                <w:sz w:val="18"/>
              </w:rPr>
            </w:pPr>
          </w:p>
          <w:p>
            <w:pPr>
              <w:pStyle w:val="TableParagraph"/>
              <w:spacing w:line="271" w:lineRule="auto"/>
              <w:ind w:left="165" w:right="314"/>
              <w:rPr>
                <w:sz w:val="17"/>
              </w:rPr>
            </w:pPr>
            <w:r>
              <w:rPr>
                <w:color w:val="58595B"/>
                <w:sz w:val="17"/>
              </w:rPr>
              <w:t>Ce modèle apporte des précisions sur la politique relative aux enseignants de l’EPE en tenant compte du fait que le salaire des enseignants est susceptible de constituer la principale composante du budget courant alloué à l’EPE. Les</w:t>
            </w:r>
            <w:r>
              <w:rPr>
                <w:color w:val="58595B"/>
                <w:spacing w:val="21"/>
                <w:sz w:val="17"/>
              </w:rPr>
              <w:t> </w:t>
            </w:r>
            <w:r>
              <w:rPr>
                <w:color w:val="58595B"/>
                <w:sz w:val="17"/>
              </w:rPr>
              <w:t>objectifs</w:t>
            </w:r>
          </w:p>
          <w:p>
            <w:pPr>
              <w:pStyle w:val="TableParagraph"/>
              <w:spacing w:line="271" w:lineRule="auto"/>
              <w:ind w:left="165" w:right="164"/>
              <w:rPr>
                <w:sz w:val="17"/>
              </w:rPr>
            </w:pPr>
            <w:r>
              <w:rPr>
                <w:color w:val="58595B"/>
                <w:sz w:val="17"/>
              </w:rPr>
              <w:t>peuvent porter sur la rémunération des enseignants, les ratios élèves/enseignant et la couverture de la population cible. Le reste des dépenses courantes est exprimé en pourcentage du total, qui peut par exemple augmenter afin de favoriser de meilleurs conditions d’apprentissage.</w:t>
            </w:r>
          </w:p>
        </w:tc>
      </w:tr>
      <w:tr>
        <w:trPr>
          <w:trHeight w:val="897" w:hRule="atLeast"/>
        </w:trPr>
        <w:tc>
          <w:tcPr>
            <w:tcW w:w="1847" w:type="dxa"/>
            <w:tcBorders>
              <w:left w:val="nil"/>
              <w:right w:val="nil"/>
            </w:tcBorders>
          </w:tcPr>
          <w:p>
            <w:pPr>
              <w:pStyle w:val="TableParagraph"/>
              <w:spacing w:before="10"/>
              <w:rPr>
                <w:b/>
                <w:sz w:val="20"/>
              </w:rPr>
            </w:pPr>
          </w:p>
          <w:p>
            <w:pPr>
              <w:pStyle w:val="TableParagraph"/>
              <w:spacing w:line="271" w:lineRule="auto" w:before="1"/>
              <w:ind w:right="206"/>
              <w:rPr>
                <w:sz w:val="17"/>
              </w:rPr>
            </w:pPr>
            <w:r>
              <w:rPr>
                <w:b/>
                <w:color w:val="913592"/>
                <w:sz w:val="17"/>
              </w:rPr>
              <w:t>Modèle 3 </w:t>
            </w:r>
            <w:r>
              <w:rPr>
                <w:color w:val="58595B"/>
                <w:sz w:val="17"/>
              </w:rPr>
              <w:t>Dépenses consacrées à l’EPE =</w:t>
            </w:r>
          </w:p>
        </w:tc>
        <w:tc>
          <w:tcPr>
            <w:tcW w:w="7405" w:type="dxa"/>
            <w:tcBorders>
              <w:left w:val="nil"/>
            </w:tcBorders>
          </w:tcPr>
          <w:p>
            <w:pPr>
              <w:pStyle w:val="TableParagraph"/>
              <w:rPr>
                <w:b/>
                <w:sz w:val="18"/>
              </w:rPr>
            </w:pPr>
          </w:p>
          <w:p>
            <w:pPr>
              <w:pStyle w:val="TableParagraph"/>
              <w:spacing w:before="144"/>
              <w:ind w:left="305"/>
              <w:rPr>
                <w:sz w:val="17"/>
              </w:rPr>
            </w:pPr>
            <w:r>
              <w:rPr>
                <w:color w:val="58595B"/>
                <w:sz w:val="17"/>
              </w:rPr>
              <w:t>Rémunération des enseignants + Supports d’apprentissage + Autres dépenses courantes</w:t>
            </w:r>
          </w:p>
        </w:tc>
        <w:tc>
          <w:tcPr>
            <w:tcW w:w="4331" w:type="dxa"/>
            <w:vMerge w:val="restart"/>
            <w:tcBorders>
              <w:right w:val="nil"/>
            </w:tcBorders>
          </w:tcPr>
          <w:p>
            <w:pPr>
              <w:pStyle w:val="TableParagraph"/>
              <w:spacing w:line="271" w:lineRule="auto" w:before="152"/>
              <w:ind w:left="165" w:right="193"/>
              <w:rPr>
                <w:sz w:val="17"/>
              </w:rPr>
            </w:pPr>
            <w:r>
              <w:rPr>
                <w:color w:val="58595B"/>
                <w:sz w:val="17"/>
              </w:rPr>
              <w:t>Ces modèles apportent différents degrés de précision sur les dépenses courantes autres que la rémunération des enseignants. Dans chaque cas, une estimation des « autres dépenses courantes » est exprimée en pourcentage du total des dépenses courantes afin d’inclure tous les éléments qui ne peuvent être détaillés.</w:t>
            </w:r>
          </w:p>
        </w:tc>
      </w:tr>
      <w:tr>
        <w:trPr>
          <w:trHeight w:val="912" w:hRule="atLeast"/>
        </w:trPr>
        <w:tc>
          <w:tcPr>
            <w:tcW w:w="1847" w:type="dxa"/>
            <w:tcBorders>
              <w:left w:val="nil"/>
              <w:right w:val="nil"/>
            </w:tcBorders>
          </w:tcPr>
          <w:p>
            <w:pPr>
              <w:pStyle w:val="TableParagraph"/>
              <w:spacing w:before="7"/>
              <w:rPr>
                <w:b/>
                <w:sz w:val="21"/>
              </w:rPr>
            </w:pPr>
          </w:p>
          <w:p>
            <w:pPr>
              <w:pStyle w:val="TableParagraph"/>
              <w:spacing w:line="271" w:lineRule="auto"/>
              <w:ind w:right="206"/>
              <w:rPr>
                <w:sz w:val="17"/>
              </w:rPr>
            </w:pPr>
            <w:r>
              <w:rPr>
                <w:b/>
                <w:color w:val="913592"/>
                <w:sz w:val="17"/>
              </w:rPr>
              <w:t>Modèle 4 </w:t>
            </w:r>
            <w:r>
              <w:rPr>
                <w:color w:val="58595B"/>
                <w:sz w:val="17"/>
              </w:rPr>
              <w:t>Dépenses consacrées à l’EPE =</w:t>
            </w:r>
          </w:p>
        </w:tc>
        <w:tc>
          <w:tcPr>
            <w:tcW w:w="7405" w:type="dxa"/>
            <w:tcBorders>
              <w:left w:val="nil"/>
            </w:tcBorders>
          </w:tcPr>
          <w:p>
            <w:pPr>
              <w:pStyle w:val="TableParagraph"/>
              <w:spacing w:before="139"/>
              <w:ind w:left="83" w:right="65"/>
              <w:jc w:val="center"/>
              <w:rPr>
                <w:sz w:val="17"/>
              </w:rPr>
            </w:pPr>
            <w:r>
              <w:rPr>
                <w:color w:val="58595B"/>
                <w:sz w:val="17"/>
              </w:rPr>
              <w:t>Rémunération des enseignants + Supports d’apprentissage + Services sociaux</w:t>
            </w:r>
          </w:p>
          <w:p>
            <w:pPr>
              <w:pStyle w:val="TableParagraph"/>
              <w:spacing w:before="24"/>
              <w:ind w:left="83" w:right="104"/>
              <w:jc w:val="center"/>
              <w:rPr>
                <w:sz w:val="17"/>
              </w:rPr>
            </w:pPr>
            <w:r>
              <w:rPr>
                <w:color w:val="58595B"/>
                <w:sz w:val="17"/>
              </w:rPr>
              <w:t>+ Inspections/Accompagnement pédagogique + Entretien et fonctionnement des infrastructures</w:t>
            </w:r>
          </w:p>
          <w:p>
            <w:pPr>
              <w:pStyle w:val="TableParagraph"/>
              <w:spacing w:before="25"/>
              <w:ind w:left="1108" w:right="1129"/>
              <w:jc w:val="center"/>
              <w:rPr>
                <w:sz w:val="17"/>
              </w:rPr>
            </w:pPr>
            <w:r>
              <w:rPr>
                <w:color w:val="58595B"/>
                <w:sz w:val="17"/>
              </w:rPr>
              <w:t>+ …. + Autres dépenses courantes</w:t>
            </w:r>
          </w:p>
        </w:tc>
        <w:tc>
          <w:tcPr>
            <w:tcW w:w="4331" w:type="dxa"/>
            <w:vMerge/>
            <w:tcBorders>
              <w:top w:val="nil"/>
              <w:right w:val="nil"/>
            </w:tcBorders>
          </w:tcPr>
          <w:p>
            <w:pPr>
              <w:rPr>
                <w:sz w:val="2"/>
                <w:szCs w:val="2"/>
              </w:rPr>
            </w:pPr>
          </w:p>
        </w:tc>
      </w:tr>
    </w:tbl>
    <w:sectPr>
      <w:pgSz w:w="15840" w:h="12240" w:orient="landscape"/>
      <w:pgMar w:header="314" w:footer="0" w:top="660" w:bottom="280" w:left="60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764.455627pt;margin-top:23.093912pt;width:6.45pt;height:10.95pt;mso-position-horizontal-relative:page;mso-position-vertical-relative:page;z-index:-45064" type="#_x0000_t202" filled="false" stroked="false">
          <v:textbox inset="0,0,0,0">
            <w:txbxContent>
              <w:p>
                <w:pPr>
                  <w:spacing w:before="14"/>
                  <w:ind w:left="20" w:right="0" w:firstLine="0"/>
                  <w:jc w:val="left"/>
                  <w:rPr>
                    <w:sz w:val="16"/>
                  </w:rPr>
                </w:pPr>
                <w:r>
                  <w:rPr>
                    <w:color w:val="808285"/>
                    <w:sz w:val="16"/>
                  </w:rPr>
                  <w:t>2</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759.006287pt;margin-top:23.093912pt;width:12.9pt;height:10.95pt;mso-position-horizontal-relative:page;mso-position-vertical-relative:page;z-index:-45040"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51" w:hanging="280"/>
      </w:pPr>
      <w:rPr>
        <w:rFonts w:hint="default" w:ascii="Arial" w:hAnsi="Arial" w:eastAsia="Arial" w:cs="Arial"/>
        <w:color w:val="58595B"/>
        <w:w w:val="100"/>
        <w:sz w:val="17"/>
        <w:szCs w:val="17"/>
      </w:rPr>
    </w:lvl>
    <w:lvl w:ilvl="1">
      <w:start w:val="0"/>
      <w:numFmt w:val="bullet"/>
      <w:lvlText w:val="•"/>
      <w:lvlJc w:val="left"/>
      <w:pPr>
        <w:ind w:left="930" w:hanging="280"/>
      </w:pPr>
      <w:rPr>
        <w:rFonts w:hint="default"/>
      </w:rPr>
    </w:lvl>
    <w:lvl w:ilvl="2">
      <w:start w:val="0"/>
      <w:numFmt w:val="bullet"/>
      <w:lvlText w:val="•"/>
      <w:lvlJc w:val="left"/>
      <w:pPr>
        <w:ind w:left="1400" w:hanging="280"/>
      </w:pPr>
      <w:rPr>
        <w:rFonts w:hint="default"/>
      </w:rPr>
    </w:lvl>
    <w:lvl w:ilvl="3">
      <w:start w:val="0"/>
      <w:numFmt w:val="bullet"/>
      <w:lvlText w:val="•"/>
      <w:lvlJc w:val="left"/>
      <w:pPr>
        <w:ind w:left="1871" w:hanging="280"/>
      </w:pPr>
      <w:rPr>
        <w:rFonts w:hint="default"/>
      </w:rPr>
    </w:lvl>
    <w:lvl w:ilvl="4">
      <w:start w:val="0"/>
      <w:numFmt w:val="bullet"/>
      <w:lvlText w:val="•"/>
      <w:lvlJc w:val="left"/>
      <w:pPr>
        <w:ind w:left="2341" w:hanging="280"/>
      </w:pPr>
      <w:rPr>
        <w:rFonts w:hint="default"/>
      </w:rPr>
    </w:lvl>
    <w:lvl w:ilvl="5">
      <w:start w:val="0"/>
      <w:numFmt w:val="bullet"/>
      <w:lvlText w:val="•"/>
      <w:lvlJc w:val="left"/>
      <w:pPr>
        <w:ind w:left="2812" w:hanging="280"/>
      </w:pPr>
      <w:rPr>
        <w:rFonts w:hint="default"/>
      </w:rPr>
    </w:lvl>
    <w:lvl w:ilvl="6">
      <w:start w:val="0"/>
      <w:numFmt w:val="bullet"/>
      <w:lvlText w:val="•"/>
      <w:lvlJc w:val="left"/>
      <w:pPr>
        <w:ind w:left="3282" w:hanging="280"/>
      </w:pPr>
      <w:rPr>
        <w:rFonts w:hint="default"/>
      </w:rPr>
    </w:lvl>
    <w:lvl w:ilvl="7">
      <w:start w:val="0"/>
      <w:numFmt w:val="bullet"/>
      <w:lvlText w:val="•"/>
      <w:lvlJc w:val="left"/>
      <w:pPr>
        <w:ind w:left="3752" w:hanging="280"/>
      </w:pPr>
      <w:rPr>
        <w:rFonts w:hint="default"/>
      </w:rPr>
    </w:lvl>
    <w:lvl w:ilvl="8">
      <w:start w:val="0"/>
      <w:numFmt w:val="bullet"/>
      <w:lvlText w:val="•"/>
      <w:lvlJc w:val="left"/>
      <w:pPr>
        <w:ind w:left="4223" w:hanging="2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spacing w:before="49"/>
      <w:ind w:left="2505" w:right="1889" w:hanging="2785"/>
      <w:outlineLvl w:val="1"/>
    </w:pPr>
    <w:rPr>
      <w:rFonts w:ascii="Arial" w:hAnsi="Arial" w:eastAsia="Arial" w:cs="Arial"/>
      <w:b/>
      <w:bCs/>
      <w:sz w:val="28"/>
      <w:szCs w:val="28"/>
    </w:rPr>
  </w:style>
  <w:style w:styleId="Heading2" w:type="paragraph">
    <w:name w:val="Heading 2"/>
    <w:basedOn w:val="Normal"/>
    <w:uiPriority w:val="1"/>
    <w:qFormat/>
    <w:pPr>
      <w:spacing w:before="51"/>
      <w:ind w:left="233"/>
      <w:outlineLvl w:val="2"/>
    </w:pPr>
    <w:rPr>
      <w:rFonts w:ascii="Arial" w:hAnsi="Arial" w:eastAsia="Arial" w:cs="Arial"/>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header" Target="header2.xml"/><Relationship Id="rId13" Type="http://schemas.openxmlformats.org/officeDocument/2006/relationships/image" Target="media/image7.png"/><Relationship Id="rId14" Type="http://schemas.openxmlformats.org/officeDocument/2006/relationships/hyperlink" Target="https://www.imf.org/external/pubs/ft/weo/2020/01/weodata/index.aspx" TargetMode="External"/><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header" Target="header3.xml"/><Relationship Id="rId18" Type="http://schemas.openxmlformats.org/officeDocument/2006/relationships/image" Target="media/image10.png"/><Relationship Id="rId19" Type="http://schemas.openxmlformats.org/officeDocument/2006/relationships/hyperlink" Target="https://www.globalpartnership.org/sites/default/files/uni-_esa_guide_en_vol1_batmd.pdf" TargetMode="Externa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hyperlink" Target="http://www.ece-accelerator.org/toolkit/section-2/tool-2-1/data-mapping-spreadsheet" TargetMode="External"/><Relationship Id="rId24" Type="http://schemas.openxmlformats.org/officeDocument/2006/relationships/image" Target="media/image14.png"/><Relationship Id="rId25" Type="http://schemas.openxmlformats.org/officeDocument/2006/relationships/image" Target="media/image15.png"/><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4.pn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png"/><Relationship Id="rId38" Type="http://schemas.openxmlformats.org/officeDocument/2006/relationships/image" Target="media/image28.png"/><Relationship Id="rId39" Type="http://schemas.openxmlformats.org/officeDocument/2006/relationships/image" Target="media/image29.png"/><Relationship Id="rId40" Type="http://schemas.openxmlformats.org/officeDocument/2006/relationships/image" Target="media/image30.png"/><Relationship Id="rId41" Type="http://schemas.openxmlformats.org/officeDocument/2006/relationships/image" Target="media/image31.png"/><Relationship Id="rId42" Type="http://schemas.openxmlformats.org/officeDocument/2006/relationships/image" Target="media/image32.png"/><Relationship Id="rId43" Type="http://schemas.openxmlformats.org/officeDocument/2006/relationships/image" Target="media/image33.png"/><Relationship Id="rId44" Type="http://schemas.openxmlformats.org/officeDocument/2006/relationships/image" Target="media/image34.png"/><Relationship Id="rId45" Type="http://schemas.openxmlformats.org/officeDocument/2006/relationships/image" Target="media/image35.png"/><Relationship Id="rId46" Type="http://schemas.openxmlformats.org/officeDocument/2006/relationships/image" Target="media/image36.png"/><Relationship Id="rId47" Type="http://schemas.openxmlformats.org/officeDocument/2006/relationships/image" Target="media/image37.png"/><Relationship Id="rId48" Type="http://schemas.openxmlformats.org/officeDocument/2006/relationships/image" Target="media/image38.png"/><Relationship Id="rId49" Type="http://schemas.openxmlformats.org/officeDocument/2006/relationships/hyperlink" Target="http://www.ece-accelerator.org/toolkit/section-3/tool-3-3/checklist-ECE-simulation-models" TargetMode="External"/><Relationship Id="rId50" Type="http://schemas.openxmlformats.org/officeDocument/2006/relationships/hyperlink" Target="http://www.ece-accelerator.org/toolkit/section-4" TargetMode="External"/><Relationship Id="rId51" Type="http://schemas.openxmlformats.org/officeDocument/2006/relationships/image" Target="media/image39.png"/><Relationship Id="rId52" Type="http://schemas.openxmlformats.org/officeDocument/2006/relationships/hyperlink" Target="http://www.ece-accelerator.org/toolkit/section-2/tool-2-3" TargetMode="External"/><Relationship Id="rId53" Type="http://schemas.openxmlformats.org/officeDocument/2006/relationships/image" Target="media/image40.png"/><Relationship Id="rId5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2021-04-01T16:17:36Z</dcterms:created>
  <dcterms:modified xsi:type="dcterms:W3CDTF">2021-04-01T16:17:36Z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Adobe InDesign CC 2014 (Macintosh)</vt:lpwstr>
  </property>
  <property fmtid="{D5CDD505-2E9C-101B-9397-08002B2CF9AE}" pid="4" name="LastSaved">
    <vt:filetime>2021-04-01T00:00:00Z</vt:filetime>
  </property>
</Properties>
</file>