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75C" w:rsidRDefault="0081041E" w:rsidP="00C50C27">
      <w:pPr>
        <w:spacing w:before="175" w:line="301" w:lineRule="exact"/>
        <w:jc w:val="center"/>
        <w:rPr>
          <w:sz w:val="28"/>
        </w:rPr>
      </w:pPr>
      <w:r>
        <w:rPr>
          <w:color w:val="913592"/>
          <w:sz w:val="28"/>
          <w:lang w:bidi="fr-FR"/>
        </w:rPr>
        <w:t>3.2 CRITÈRES, RECOMMANDATIONS ET LISTES DE CONTRÔLE</w:t>
      </w:r>
    </w:p>
    <w:p w:rsidR="00C3075C" w:rsidRDefault="0081041E" w:rsidP="00EC24B8">
      <w:pPr>
        <w:pStyle w:val="Ttulo1"/>
        <w:spacing w:line="301" w:lineRule="exact"/>
        <w:ind w:left="0"/>
        <w:jc w:val="center"/>
      </w:pPr>
      <w:r>
        <w:rPr>
          <w:color w:val="913592"/>
          <w:lang w:bidi="fr-FR"/>
        </w:rPr>
        <w:t>DÉFINITION DES INDICATEURS ET DES CIBLES EN MATIÈRE D’ÉDUCATION DE LA PETITE ENFANCE (EPE)</w:t>
      </w:r>
    </w:p>
    <w:p w:rsidR="00C3075C" w:rsidRPr="00C50C27" w:rsidRDefault="00C3075C">
      <w:pPr>
        <w:pStyle w:val="Textoindependiente"/>
        <w:rPr>
          <w:b/>
        </w:rPr>
      </w:pPr>
    </w:p>
    <w:p w:rsidR="00C3075C" w:rsidRPr="00C50C27" w:rsidRDefault="0081041E">
      <w:pPr>
        <w:spacing w:before="173"/>
        <w:ind w:left="133"/>
        <w:rPr>
          <w:b/>
          <w:sz w:val="20"/>
          <w:szCs w:val="20"/>
        </w:rPr>
      </w:pPr>
      <w:r w:rsidRPr="00C50C27">
        <w:rPr>
          <w:b/>
          <w:color w:val="913592"/>
          <w:sz w:val="20"/>
          <w:szCs w:val="20"/>
          <w:lang w:bidi="fr-FR"/>
        </w:rPr>
        <w:t>Définir et affiner les critères et les considérations des indicateurs en matière d’EPE</w:t>
      </w:r>
    </w:p>
    <w:p w:rsidR="00C3075C" w:rsidRPr="00C50C27" w:rsidRDefault="0081041E">
      <w:pPr>
        <w:spacing w:before="90" w:line="292" w:lineRule="auto"/>
        <w:ind w:left="133"/>
        <w:rPr>
          <w:sz w:val="20"/>
          <w:szCs w:val="20"/>
        </w:rPr>
      </w:pPr>
      <w:r w:rsidRPr="00C50C27">
        <w:rPr>
          <w:color w:val="58595B"/>
          <w:sz w:val="20"/>
          <w:szCs w:val="20"/>
          <w:lang w:bidi="fr-FR"/>
        </w:rPr>
        <w:t>Le tableau ci-dessous reprend les modules</w:t>
      </w:r>
      <w:r w:rsidRPr="00C50C27">
        <w:rPr>
          <w:color w:val="58595B"/>
          <w:position w:val="7"/>
          <w:sz w:val="20"/>
          <w:szCs w:val="20"/>
          <w:lang w:bidi="fr-FR"/>
        </w:rPr>
        <w:t>1</w:t>
      </w:r>
      <w:r w:rsidRPr="00C50C27">
        <w:rPr>
          <w:color w:val="58595B"/>
          <w:sz w:val="20"/>
          <w:szCs w:val="20"/>
          <w:lang w:bidi="fr-FR"/>
        </w:rPr>
        <w:t xml:space="preserve"> du MOOC et les lignes directrices pour </w:t>
      </w:r>
      <w:r w:rsidRPr="00C50C27">
        <w:rPr>
          <w:b/>
          <w:color w:val="58595B"/>
          <w:sz w:val="20"/>
          <w:szCs w:val="20"/>
          <w:lang w:bidi="fr-FR"/>
        </w:rPr>
        <w:t xml:space="preserve">définir les indicateurs techniques en matière d’éducation de la petite enfance (EPE), et s’appuie sur le MOOC pour présenter des considérations fréquentes indicatives. </w:t>
      </w:r>
      <w:r w:rsidRPr="00C50C27">
        <w:rPr>
          <w:color w:val="58595B"/>
          <w:sz w:val="20"/>
          <w:szCs w:val="20"/>
          <w:lang w:bidi="fr-FR"/>
        </w:rPr>
        <w:t>Bien que ces considérations soient applicables à tous les sous-secteurs de l’éducation qui élaborent le plan sectoriel d’éducation, les critères de ce tableau sont destinés aux parties prenantes du groupe de travail technique sur l’EPE. Ils ont pour but de les aider à définir et à affiner les indicateurs dans l’ensemble de la hiérarchie de la chaîne de résultats</w:t>
      </w:r>
      <w:r w:rsidR="00086DD3" w:rsidRPr="00C50C27">
        <w:rPr>
          <w:color w:val="58595B"/>
          <w:sz w:val="20"/>
          <w:szCs w:val="20"/>
          <w:lang w:bidi="fr-FR"/>
        </w:rPr>
        <w:t>.</w:t>
      </w:r>
    </w:p>
    <w:p w:rsidR="00596335" w:rsidRPr="00CA406A" w:rsidRDefault="0081041E" w:rsidP="00CA406A">
      <w:pPr>
        <w:pStyle w:val="Ttulo2"/>
        <w:spacing w:before="112"/>
        <w:rPr>
          <w:color w:val="58595B"/>
          <w:lang w:bidi="fr-FR"/>
        </w:rPr>
      </w:pPr>
      <w:r w:rsidRPr="00C50C27">
        <w:rPr>
          <w:color w:val="58595B"/>
          <w:lang w:bidi="fr-FR"/>
        </w:rPr>
        <w:t xml:space="preserve">Pour chaque </w:t>
      </w:r>
      <w:r w:rsidRPr="00CA406A">
        <w:rPr>
          <w:color w:val="58595B"/>
          <w:lang w:bidi="fr-FR"/>
        </w:rPr>
        <w:t>indicateur, examinez les critères par rapport à l</w:t>
      </w:r>
      <w:r w:rsidR="00086DD3" w:rsidRPr="00CA406A">
        <w:rPr>
          <w:color w:val="58595B"/>
          <w:lang w:bidi="fr-FR"/>
        </w:rPr>
        <w:t>’</w:t>
      </w:r>
      <w:r w:rsidRPr="00CA406A">
        <w:rPr>
          <w:color w:val="58595B"/>
          <w:lang w:bidi="fr-FR"/>
        </w:rPr>
        <w:t>indicateur pour « vérifier » s’il est bien défini.</w:t>
      </w:r>
    </w:p>
    <w:p w:rsidR="00C3075C" w:rsidRPr="00CA406A" w:rsidRDefault="00EC24B8" w:rsidP="00CA406A">
      <w:pPr>
        <w:pStyle w:val="Textoindependiente"/>
        <w:spacing w:before="6"/>
        <w:rPr>
          <w:b/>
        </w:rPr>
      </w:pPr>
      <w:r w:rsidRPr="00CA406A">
        <w:rPr>
          <w:noProof/>
          <w:lang w:bidi="fr-FR"/>
        </w:rPr>
        <mc:AlternateContent>
          <mc:Choice Requires="wps">
            <w:drawing>
              <wp:anchor distT="0" distB="0" distL="0" distR="0" simplePos="0" relativeHeight="251658240" behindDoc="1" locked="0" layoutInCell="1" allowOverlap="1" wp14:anchorId="60B8674B">
                <wp:simplePos x="0" y="0"/>
                <wp:positionH relativeFrom="page">
                  <wp:posOffset>707390</wp:posOffset>
                </wp:positionH>
                <wp:positionV relativeFrom="paragraph">
                  <wp:posOffset>228600</wp:posOffset>
                </wp:positionV>
                <wp:extent cx="11361420" cy="0"/>
                <wp:effectExtent l="0" t="0" r="5080" b="0"/>
                <wp:wrapTopAndBottom/>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361420" cy="0"/>
                        </a:xfrm>
                        <a:prstGeom prst="line">
                          <a:avLst/>
                        </a:prstGeom>
                        <a:noFill/>
                        <a:ln w="4445">
                          <a:solidFill>
                            <a:srgbClr val="93959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AB0CA" id="Line 5"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7pt,18pt" to="950.3pt,1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" strokecolor="#939598" strokeweight=".35pt">
                <o:lock v:ext="edit" shapetype="f"/>
                <w10:wrap type="topAndBottom" anchorx="page"/>
              </v:line>
            </w:pict>
          </mc:Fallback>
        </mc:AlternateContent>
      </w:r>
    </w:p>
    <w:p w:rsidR="00C3075C" w:rsidRDefault="00C3075C">
      <w:pPr>
        <w:pStyle w:val="Textoindependiente"/>
        <w:spacing w:before="8"/>
        <w:rPr>
          <w:b/>
          <w:sz w:val="9"/>
        </w:rPr>
      </w:pPr>
    </w:p>
    <w:tbl>
      <w:tblPr>
        <w:tblStyle w:val="TableNormal1"/>
        <w:tblW w:w="0" w:type="auto"/>
        <w:tblInd w:w="115" w:type="dxa"/>
        <w:tblBorders>
          <w:top w:val="single" w:sz="6" w:space="0" w:color="939598"/>
          <w:left w:val="single" w:sz="6" w:space="0" w:color="939598"/>
          <w:bottom w:val="single" w:sz="6" w:space="0" w:color="939598"/>
          <w:right w:val="single" w:sz="6" w:space="0" w:color="939598"/>
          <w:insideH w:val="single" w:sz="6" w:space="0" w:color="939598"/>
          <w:insideV w:val="single" w:sz="6" w:space="0" w:color="939598"/>
        </w:tblBorders>
        <w:tblLayout w:type="fixed"/>
        <w:tblLook w:val="01E0" w:firstRow="1" w:lastRow="1" w:firstColumn="1" w:lastColumn="1" w:noHBand="0" w:noVBand="0"/>
      </w:tblPr>
      <w:tblGrid>
        <w:gridCol w:w="2115"/>
        <w:gridCol w:w="5613"/>
        <w:gridCol w:w="1531"/>
        <w:gridCol w:w="8635"/>
      </w:tblGrid>
      <w:tr w:rsidR="00CA406A" w:rsidTr="006E0C5E">
        <w:trPr>
          <w:trHeight w:val="361"/>
        </w:trPr>
        <w:tc>
          <w:tcPr>
            <w:tcW w:w="17894" w:type="dxa"/>
            <w:gridSpan w:val="4"/>
            <w:tcBorders>
              <w:left w:val="nil"/>
              <w:bottom w:val="single" w:sz="4" w:space="0" w:color="939598"/>
              <w:right w:val="nil"/>
            </w:tcBorders>
            <w:vAlign w:val="center"/>
          </w:tcPr>
          <w:p w:rsidR="00CA406A" w:rsidRDefault="00CA406A" w:rsidP="00035495">
            <w:pPr>
              <w:pStyle w:val="TableParagraph"/>
              <w:spacing w:before="60"/>
              <w:ind w:left="0"/>
              <w:jc w:val="center"/>
              <w:rPr>
                <w:b/>
                <w:color w:val="57585B"/>
                <w:sz w:val="18"/>
                <w:lang w:bidi="fr-FR"/>
              </w:rPr>
            </w:pPr>
            <w:r>
              <w:rPr>
                <w:b/>
                <w:color w:val="58595B"/>
                <w:sz w:val="20"/>
                <w:lang w:bidi="fr-FR"/>
              </w:rPr>
              <w:t>Tableau : Définir les indicateurs en matière d’EPE — Critères et considérations</w:t>
            </w:r>
          </w:p>
        </w:tc>
      </w:tr>
      <w:tr w:rsidR="00C3075C" w:rsidTr="002D27D3">
        <w:trPr>
          <w:trHeight w:val="536"/>
        </w:trPr>
        <w:tc>
          <w:tcPr>
            <w:tcW w:w="2115" w:type="dxa"/>
            <w:tcBorders>
              <w:left w:val="nil"/>
              <w:bottom w:val="single" w:sz="4" w:space="0" w:color="939598"/>
              <w:right w:val="single" w:sz="4" w:space="0" w:color="ABABAD"/>
            </w:tcBorders>
            <w:vAlign w:val="center"/>
          </w:tcPr>
          <w:p w:rsidR="00C3075C" w:rsidRDefault="0081041E" w:rsidP="002D27D3">
            <w:pPr>
              <w:pStyle w:val="TableParagraph"/>
              <w:ind w:left="0"/>
              <w:jc w:val="center"/>
              <w:rPr>
                <w:b/>
                <w:sz w:val="10"/>
              </w:rPr>
            </w:pPr>
            <w:r>
              <w:rPr>
                <w:b/>
                <w:color w:val="57585B"/>
                <w:sz w:val="18"/>
                <w:lang w:bidi="fr-FR"/>
              </w:rPr>
              <w:t xml:space="preserve">Type hiérarchique </w:t>
            </w:r>
            <w:r w:rsidR="00E318FF">
              <w:rPr>
                <w:b/>
                <w:color w:val="57585B"/>
                <w:sz w:val="18"/>
                <w:lang w:bidi="fr-FR"/>
              </w:rPr>
              <w:br/>
            </w:r>
            <w:r>
              <w:rPr>
                <w:b/>
                <w:color w:val="57585B"/>
                <w:sz w:val="18"/>
                <w:lang w:bidi="fr-FR"/>
              </w:rPr>
              <w:t>des indicateurs</w:t>
            </w:r>
            <w:r>
              <w:rPr>
                <w:b/>
                <w:color w:val="57585B"/>
                <w:position w:val="6"/>
                <w:sz w:val="10"/>
                <w:lang w:bidi="fr-FR"/>
              </w:rPr>
              <w:t>2</w:t>
            </w:r>
          </w:p>
        </w:tc>
        <w:tc>
          <w:tcPr>
            <w:tcW w:w="5613" w:type="dxa"/>
            <w:tcBorders>
              <w:left w:val="single" w:sz="4" w:space="0" w:color="ABABAD"/>
              <w:bottom w:val="single" w:sz="4" w:space="0" w:color="939598"/>
              <w:right w:val="single" w:sz="4" w:space="0" w:color="939598"/>
            </w:tcBorders>
            <w:vAlign w:val="center"/>
          </w:tcPr>
          <w:p w:rsidR="00C3075C" w:rsidRDefault="0081041E" w:rsidP="002D27D3">
            <w:pPr>
              <w:pStyle w:val="TableParagraph"/>
              <w:ind w:left="0"/>
              <w:jc w:val="center"/>
              <w:rPr>
                <w:sz w:val="18"/>
              </w:rPr>
            </w:pPr>
            <w:r>
              <w:rPr>
                <w:b/>
                <w:color w:val="57585B"/>
                <w:sz w:val="18"/>
                <w:lang w:bidi="fr-FR"/>
              </w:rPr>
              <w:t xml:space="preserve">Critères de définition des indicateurs </w:t>
            </w:r>
            <w:r>
              <w:rPr>
                <w:color w:val="57585B"/>
                <w:sz w:val="18"/>
                <w:lang w:bidi="fr-FR"/>
              </w:rPr>
              <w:t xml:space="preserve">(adaptés du </w:t>
            </w:r>
            <w:hyperlink r:id="rId7">
              <w:r>
                <w:rPr>
                  <w:color w:val="57585B"/>
                  <w:sz w:val="18"/>
                  <w:u w:val="single" w:color="57585B"/>
                  <w:lang w:bidi="fr-FR"/>
                </w:rPr>
                <w:t>module 4 du MOOC, pages 16-17</w:t>
              </w:r>
            </w:hyperlink>
            <w:r>
              <w:rPr>
                <w:color w:val="57585B"/>
                <w:sz w:val="18"/>
                <w:lang w:bidi="fr-FR"/>
              </w:rPr>
              <w:t xml:space="preserve"> et du </w:t>
            </w:r>
            <w:hyperlink r:id="rId8">
              <w:r>
                <w:rPr>
                  <w:color w:val="57585B"/>
                  <w:sz w:val="18"/>
                  <w:u w:val="single" w:color="57585B"/>
                  <w:lang w:bidi="fr-FR"/>
                </w:rPr>
                <w:t>module 5, pages 14-16</w:t>
              </w:r>
            </w:hyperlink>
            <w:r>
              <w:rPr>
                <w:color w:val="57585B"/>
                <w:sz w:val="18"/>
                <w:lang w:bidi="fr-FR"/>
              </w:rPr>
              <w:t>)</w:t>
            </w:r>
          </w:p>
        </w:tc>
        <w:tc>
          <w:tcPr>
            <w:tcW w:w="1531" w:type="dxa"/>
            <w:tcBorders>
              <w:left w:val="single" w:sz="4" w:space="0" w:color="939598"/>
              <w:bottom w:val="single" w:sz="4" w:space="0" w:color="939598"/>
              <w:right w:val="single" w:sz="4" w:space="0" w:color="939598"/>
            </w:tcBorders>
            <w:vAlign w:val="center"/>
          </w:tcPr>
          <w:p w:rsidR="00C3075C" w:rsidRDefault="0081041E" w:rsidP="002D27D3">
            <w:pPr>
              <w:pStyle w:val="TableParagraph"/>
              <w:ind w:left="0"/>
              <w:jc w:val="center"/>
              <w:rPr>
                <w:b/>
                <w:sz w:val="18"/>
              </w:rPr>
            </w:pPr>
            <w:r>
              <w:rPr>
                <w:b/>
                <w:color w:val="57585B"/>
                <w:sz w:val="18"/>
                <w:lang w:bidi="fr-FR"/>
              </w:rPr>
              <w:t>Réponse</w:t>
            </w:r>
          </w:p>
        </w:tc>
        <w:tc>
          <w:tcPr>
            <w:tcW w:w="8635" w:type="dxa"/>
            <w:tcBorders>
              <w:left w:val="single" w:sz="4" w:space="0" w:color="939598"/>
              <w:bottom w:val="single" w:sz="4" w:space="0" w:color="939598"/>
              <w:right w:val="nil"/>
            </w:tcBorders>
            <w:vAlign w:val="center"/>
          </w:tcPr>
          <w:p w:rsidR="00C3075C" w:rsidRDefault="0081041E" w:rsidP="002D27D3">
            <w:pPr>
              <w:pStyle w:val="TableParagraph"/>
              <w:ind w:left="0"/>
              <w:jc w:val="center"/>
              <w:rPr>
                <w:b/>
                <w:sz w:val="18"/>
              </w:rPr>
            </w:pPr>
            <w:r>
              <w:rPr>
                <w:b/>
                <w:color w:val="57585B"/>
                <w:sz w:val="18"/>
                <w:lang w:bidi="fr-FR"/>
              </w:rPr>
              <w:t>Considérations fréquentes pour l’application des critères, avec exemples</w:t>
            </w:r>
          </w:p>
        </w:tc>
      </w:tr>
      <w:tr w:rsidR="00C3075C">
        <w:trPr>
          <w:trHeight w:val="3116"/>
        </w:trPr>
        <w:tc>
          <w:tcPr>
            <w:tcW w:w="2115" w:type="dxa"/>
            <w:vMerge w:val="restart"/>
            <w:tcBorders>
              <w:top w:val="single" w:sz="4" w:space="0" w:color="939598"/>
              <w:left w:val="nil"/>
              <w:bottom w:val="single" w:sz="4" w:space="0" w:color="939598"/>
              <w:right w:val="single" w:sz="4" w:space="0" w:color="939598"/>
            </w:tcBorders>
            <w:shd w:val="clear" w:color="auto" w:fill="F1F2F2"/>
          </w:tcPr>
          <w:p w:rsidR="00C3075C" w:rsidRDefault="0081041E" w:rsidP="00605FD7">
            <w:pPr>
              <w:pStyle w:val="TableParagraph"/>
              <w:spacing w:before="127" w:line="254" w:lineRule="auto"/>
              <w:ind w:left="113" w:right="113"/>
              <w:rPr>
                <w:sz w:val="18"/>
              </w:rPr>
            </w:pPr>
            <w:r>
              <w:rPr>
                <w:b/>
                <w:color w:val="913592"/>
                <w:sz w:val="18"/>
                <w:lang w:bidi="fr-FR"/>
              </w:rPr>
              <w:t xml:space="preserve">Tous les indicateurs </w:t>
            </w:r>
            <w:r>
              <w:rPr>
                <w:color w:val="58595B"/>
                <w:sz w:val="18"/>
                <w:lang w:bidi="fr-FR"/>
              </w:rPr>
              <w:t>Tous les indicateurs sont-ils SMART</w:t>
            </w:r>
          </w:p>
          <w:p w:rsidR="00C3075C" w:rsidRDefault="0081041E" w:rsidP="00605FD7">
            <w:pPr>
              <w:pStyle w:val="TableParagraph"/>
              <w:spacing w:before="2" w:line="254" w:lineRule="auto"/>
              <w:ind w:left="113" w:right="113"/>
              <w:rPr>
                <w:sz w:val="18"/>
              </w:rPr>
            </w:pPr>
            <w:r>
              <w:rPr>
                <w:color w:val="58595B"/>
                <w:sz w:val="18"/>
                <w:lang w:bidi="fr-FR"/>
              </w:rPr>
              <w:t>(Spécifiques, Mesurables, Atteignables, Réalistes, Temporellement définis) ?</w:t>
            </w:r>
          </w:p>
        </w:tc>
        <w:tc>
          <w:tcPr>
            <w:tcW w:w="5613" w:type="dxa"/>
            <w:tcBorders>
              <w:top w:val="single" w:sz="4" w:space="0" w:color="939598"/>
              <w:left w:val="single" w:sz="4" w:space="0" w:color="939598"/>
              <w:bottom w:val="single" w:sz="4" w:space="0" w:color="939598"/>
              <w:right w:val="single" w:sz="4" w:space="0" w:color="939598"/>
            </w:tcBorders>
          </w:tcPr>
          <w:p w:rsidR="00C3075C" w:rsidRDefault="0081041E" w:rsidP="00035495">
            <w:pPr>
              <w:pStyle w:val="TableParagraph"/>
              <w:spacing w:before="127"/>
              <w:ind w:left="170"/>
              <w:rPr>
                <w:b/>
                <w:sz w:val="18"/>
              </w:rPr>
            </w:pPr>
            <w:r>
              <w:rPr>
                <w:b/>
                <w:color w:val="913592"/>
                <w:sz w:val="18"/>
                <w:lang w:bidi="fr-FR"/>
              </w:rPr>
              <w:t>Spécifique</w:t>
            </w:r>
          </w:p>
          <w:p w:rsidR="00C3075C" w:rsidRDefault="0081041E" w:rsidP="00035495">
            <w:pPr>
              <w:pStyle w:val="TableParagraph"/>
              <w:numPr>
                <w:ilvl w:val="0"/>
                <w:numId w:val="9"/>
              </w:numPr>
              <w:tabs>
                <w:tab w:val="left" w:pos="530"/>
                <w:tab w:val="left" w:pos="531"/>
              </w:tabs>
              <w:spacing w:before="118" w:line="278" w:lineRule="auto"/>
              <w:rPr>
                <w:sz w:val="18"/>
              </w:rPr>
            </w:pPr>
            <w:r>
              <w:rPr>
                <w:color w:val="57585B"/>
                <w:sz w:val="18"/>
                <w:lang w:bidi="fr-FR"/>
              </w:rPr>
              <w:t>L’indicateur est-il suffisamment spécifique pour mesurer la progression vers les résultats ?</w:t>
            </w:r>
          </w:p>
          <w:p w:rsidR="00C3075C" w:rsidRDefault="0081041E" w:rsidP="00035495">
            <w:pPr>
              <w:pStyle w:val="TableParagraph"/>
              <w:numPr>
                <w:ilvl w:val="0"/>
                <w:numId w:val="9"/>
              </w:numPr>
              <w:tabs>
                <w:tab w:val="left" w:pos="530"/>
                <w:tab w:val="left" w:pos="531"/>
              </w:tabs>
              <w:spacing w:before="85" w:line="278" w:lineRule="auto"/>
              <w:rPr>
                <w:sz w:val="18"/>
              </w:rPr>
            </w:pPr>
            <w:r>
              <w:rPr>
                <w:color w:val="57585B"/>
                <w:sz w:val="18"/>
                <w:lang w:bidi="fr-FR"/>
              </w:rPr>
              <w:t>L’indicateur est-il suffisamment ventilé (par genre, âge, lieu, ressources des ménages, et autres</w:t>
            </w:r>
          </w:p>
          <w:p w:rsidR="00C3075C" w:rsidRDefault="0081041E" w:rsidP="00035495">
            <w:pPr>
              <w:pStyle w:val="TableParagraph"/>
              <w:spacing w:line="278" w:lineRule="auto"/>
              <w:ind w:left="530"/>
              <w:rPr>
                <w:sz w:val="18"/>
              </w:rPr>
            </w:pPr>
            <w:r>
              <w:rPr>
                <w:color w:val="57585B"/>
                <w:sz w:val="18"/>
                <w:lang w:bidi="fr-FR"/>
              </w:rPr>
              <w:t>caractéristiques relatives à la vulnérabilité comme les minorités linguistiques ou ethniques, les réfugiés, les populations déplacées à l’intérieur du pays, les enfants handicapés) ?</w:t>
            </w:r>
          </w:p>
          <w:p w:rsidR="00C3075C" w:rsidRDefault="0081041E" w:rsidP="00035495">
            <w:pPr>
              <w:pStyle w:val="TableParagraph"/>
              <w:numPr>
                <w:ilvl w:val="0"/>
                <w:numId w:val="9"/>
              </w:numPr>
              <w:tabs>
                <w:tab w:val="left" w:pos="530"/>
                <w:tab w:val="left" w:pos="531"/>
              </w:tabs>
              <w:spacing w:before="85" w:line="278" w:lineRule="auto"/>
              <w:rPr>
                <w:sz w:val="18"/>
              </w:rPr>
            </w:pPr>
            <w:r>
              <w:rPr>
                <w:color w:val="57585B"/>
                <w:sz w:val="18"/>
                <w:lang w:bidi="fr-FR"/>
              </w:rPr>
              <w:t>Il est essentiel d’éviter les imprécisions et les ambiguïtés dans la manière dont les indicateurs sont définis et de prendre en compte les questions d</w:t>
            </w:r>
            <w:r w:rsidR="00086DD3">
              <w:rPr>
                <w:color w:val="57585B"/>
                <w:sz w:val="18"/>
                <w:lang w:bidi="fr-FR"/>
              </w:rPr>
              <w:t>’</w:t>
            </w:r>
            <w:r>
              <w:rPr>
                <w:color w:val="57585B"/>
                <w:sz w:val="18"/>
                <w:lang w:bidi="fr-FR"/>
              </w:rPr>
              <w:t>inclusion et d</w:t>
            </w:r>
            <w:r w:rsidR="00086DD3">
              <w:rPr>
                <w:color w:val="57585B"/>
                <w:sz w:val="18"/>
                <w:lang w:bidi="fr-FR"/>
              </w:rPr>
              <w:t>’</w:t>
            </w:r>
            <w:r>
              <w:rPr>
                <w:color w:val="57585B"/>
                <w:sz w:val="18"/>
                <w:lang w:bidi="fr-FR"/>
              </w:rPr>
              <w:t>équité qui pourraient être masquées dans les chiffres nationaux.</w:t>
            </w:r>
          </w:p>
        </w:tc>
        <w:tc>
          <w:tcPr>
            <w:tcW w:w="1531" w:type="dxa"/>
            <w:tcBorders>
              <w:top w:val="single" w:sz="4" w:space="0" w:color="939598"/>
              <w:left w:val="single" w:sz="4" w:space="0" w:color="939598"/>
              <w:bottom w:val="single" w:sz="4" w:space="0" w:color="939598"/>
              <w:right w:val="single" w:sz="4" w:space="0" w:color="939598"/>
            </w:tcBorders>
          </w:tcPr>
          <w:p w:rsidR="00C3075C" w:rsidRDefault="0081041E" w:rsidP="008F3640">
            <w:pPr>
              <w:pStyle w:val="TableParagraph"/>
              <w:spacing w:before="142"/>
              <w:ind w:left="113" w:right="113"/>
              <w:rPr>
                <w:sz w:val="18"/>
              </w:rPr>
            </w:pPr>
            <w:r>
              <w:rPr>
                <w:noProof/>
                <w:lang w:bidi="fr-FR"/>
              </w:rPr>
              <w:drawing>
                <wp:inline distT="0" distB="0" distL="0" distR="0" wp14:anchorId="1D5F8EFA" wp14:editId="75FCC16B">
                  <wp:extent cx="91160" cy="9116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8F3640" w:rsidRDefault="00375F5D" w:rsidP="008F3640">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4D2994C7" wp14:editId="4F3D7FF1">
                  <wp:extent cx="91160" cy="91160"/>
                  <wp:effectExtent l="0" t="0" r="0" b="0"/>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sidR="0081041E">
              <w:rPr>
                <w:color w:val="57585B"/>
                <w:spacing w:val="-2"/>
                <w:sz w:val="18"/>
                <w:lang w:bidi="fr-FR"/>
              </w:rPr>
              <w:t>En partie</w:t>
            </w:r>
          </w:p>
          <w:p w:rsidR="00C3075C" w:rsidRDefault="0081041E" w:rsidP="008F3640">
            <w:pPr>
              <w:pStyle w:val="TableParagraph"/>
              <w:numPr>
                <w:ilvl w:val="0"/>
                <w:numId w:val="10"/>
              </w:numPr>
              <w:spacing w:before="118"/>
              <w:ind w:left="113" w:right="113"/>
              <w:rPr>
                <w:sz w:val="18"/>
              </w:rPr>
            </w:pPr>
            <w:r>
              <w:rPr>
                <w:noProof/>
                <w:color w:val="57585B"/>
                <w:sz w:val="18"/>
                <w:lang w:bidi="fr-FR"/>
              </w:rPr>
              <w:drawing>
                <wp:inline distT="0" distB="0" distL="0" distR="0" wp14:anchorId="5A77F012" wp14:editId="4641C91E">
                  <wp:extent cx="91160" cy="91160"/>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top w:val="single" w:sz="4" w:space="0" w:color="939598"/>
              <w:left w:val="single" w:sz="4" w:space="0" w:color="939598"/>
              <w:bottom w:val="single" w:sz="4" w:space="0" w:color="939598"/>
              <w:right w:val="nil"/>
            </w:tcBorders>
          </w:tcPr>
          <w:p w:rsidR="00C3075C" w:rsidRDefault="0081041E" w:rsidP="00035495">
            <w:pPr>
              <w:pStyle w:val="TableParagraph"/>
              <w:spacing w:before="127" w:line="278" w:lineRule="auto"/>
              <w:ind w:left="170" w:right="5"/>
              <w:rPr>
                <w:sz w:val="18"/>
              </w:rPr>
            </w:pPr>
            <w:r>
              <w:rPr>
                <w:color w:val="57585B"/>
                <w:spacing w:val="-4"/>
                <w:sz w:val="18"/>
                <w:lang w:bidi="fr-FR"/>
              </w:rPr>
              <w:t>Parfois, plusieurs indicateurs sont élaborés et peuvent être interprétés de telle sorte qu’ils vont mesurer le même élément. Cette ambiguïté peut entraîner un travail redondant et inefficace.</w:t>
            </w:r>
          </w:p>
          <w:p w:rsidR="00C3075C" w:rsidRDefault="0081041E" w:rsidP="00035495">
            <w:pPr>
              <w:pStyle w:val="TableParagraph"/>
              <w:spacing w:before="85" w:line="278" w:lineRule="auto"/>
              <w:ind w:left="170" w:right="5"/>
              <w:rPr>
                <w:b/>
                <w:sz w:val="18"/>
              </w:rPr>
            </w:pPr>
            <w:r>
              <w:rPr>
                <w:color w:val="57585B"/>
                <w:spacing w:val="-4"/>
                <w:sz w:val="18"/>
                <w:lang w:bidi="fr-FR"/>
              </w:rPr>
              <w:t xml:space="preserve">On peut donc </w:t>
            </w:r>
            <w:r>
              <w:rPr>
                <w:b/>
                <w:color w:val="57585B"/>
                <w:spacing w:val="-4"/>
                <w:sz w:val="18"/>
                <w:lang w:bidi="fr-FR"/>
              </w:rPr>
              <w:t>réaliser une « vérification » de l’ambiguïté afin de garantir que les termes utilisés dans l’indicateur ne sont pas vagues, mais clairement définis comme il se doit.</w:t>
            </w:r>
          </w:p>
          <w:p w:rsidR="00C3075C" w:rsidRDefault="00C3075C" w:rsidP="00035495">
            <w:pPr>
              <w:pStyle w:val="TableParagraph"/>
              <w:spacing w:before="11"/>
              <w:ind w:left="0" w:right="5"/>
              <w:rPr>
                <w:b/>
                <w:sz w:val="19"/>
              </w:rPr>
            </w:pPr>
            <w:bookmarkStart w:id="0" w:name="_GoBack"/>
            <w:bookmarkEnd w:id="0"/>
          </w:p>
          <w:p w:rsidR="00C3075C" w:rsidRDefault="0081041E" w:rsidP="00035495">
            <w:pPr>
              <w:pStyle w:val="TableParagraph"/>
              <w:spacing w:line="273" w:lineRule="auto"/>
              <w:ind w:left="170" w:right="5"/>
              <w:rPr>
                <w:sz w:val="18"/>
              </w:rPr>
            </w:pPr>
            <w:r>
              <w:rPr>
                <w:noProof/>
                <w:position w:val="-3"/>
                <w:lang w:bidi="fr-FR"/>
              </w:rPr>
              <w:drawing>
                <wp:inline distT="0" distB="0" distL="0" distR="0" wp14:anchorId="64CD50EC" wp14:editId="33A66373">
                  <wp:extent cx="527977" cy="138279"/>
                  <wp:effectExtent l="0" t="0" r="0" b="1905"/>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8"/>
                <w:sz w:val="20"/>
                <w:lang w:bidi="fr-FR"/>
              </w:rPr>
              <w:t xml:space="preserve"> </w:t>
            </w:r>
            <w:r>
              <w:rPr>
                <w:color w:val="57585B"/>
                <w:sz w:val="18"/>
                <w:lang w:bidi="fr-FR"/>
              </w:rPr>
              <w:t>Il est probable qu’un indicateur d’activité portant sur le « protocole national révisé de supervision de l</w:t>
            </w:r>
            <w:r w:rsidR="00086DD3">
              <w:rPr>
                <w:color w:val="57585B"/>
                <w:sz w:val="18"/>
                <w:lang w:bidi="fr-FR"/>
              </w:rPr>
              <w:t>’</w:t>
            </w:r>
            <w:r>
              <w:rPr>
                <w:color w:val="57585B"/>
                <w:sz w:val="18"/>
                <w:lang w:bidi="fr-FR"/>
              </w:rPr>
              <w:t>EPE utilisé par les services d</w:t>
            </w:r>
            <w:r w:rsidR="00086DD3">
              <w:rPr>
                <w:color w:val="57585B"/>
                <w:sz w:val="18"/>
                <w:lang w:bidi="fr-FR"/>
              </w:rPr>
              <w:t>’</w:t>
            </w:r>
            <w:r>
              <w:rPr>
                <w:color w:val="57585B"/>
                <w:sz w:val="18"/>
                <w:lang w:bidi="fr-FR"/>
              </w:rPr>
              <w:t>inspection » soit une répétition de l’indicateur d’activité sur les « mécanismes nationaux de supervision améliorés pour intégrer l’EPE ».</w:t>
            </w:r>
          </w:p>
          <w:p w:rsidR="00C3075C" w:rsidRDefault="0081041E" w:rsidP="00035495">
            <w:pPr>
              <w:pStyle w:val="TableParagraph"/>
              <w:spacing w:before="90" w:line="278" w:lineRule="auto"/>
              <w:ind w:left="170" w:right="5"/>
              <w:rPr>
                <w:sz w:val="18"/>
              </w:rPr>
            </w:pPr>
            <w:r>
              <w:rPr>
                <w:color w:val="57585B"/>
                <w:spacing w:val="-3"/>
                <w:sz w:val="18"/>
                <w:lang w:bidi="fr-FR"/>
              </w:rPr>
              <w:t>Le second n’est pas spécifique et pourrait concerner et mesurer la même activité. Il devrait être clarifié afin de le distinguer du premier, ou supprimé.</w:t>
            </w:r>
          </w:p>
        </w:tc>
      </w:tr>
      <w:tr w:rsidR="00C3075C" w:rsidTr="0003255B">
        <w:trPr>
          <w:trHeight w:val="3402"/>
        </w:trPr>
        <w:tc>
          <w:tcPr>
            <w:tcW w:w="2115" w:type="dxa"/>
            <w:vMerge/>
            <w:tcBorders>
              <w:top w:val="nil"/>
              <w:left w:val="nil"/>
              <w:bottom w:val="single" w:sz="4" w:space="0" w:color="939598"/>
              <w:right w:val="single" w:sz="4" w:space="0" w:color="939598"/>
            </w:tcBorders>
            <w:shd w:val="clear" w:color="auto" w:fill="F1F2F2"/>
          </w:tcPr>
          <w:p w:rsidR="00C3075C" w:rsidRDefault="00C3075C">
            <w:pPr>
              <w:rPr>
                <w:sz w:val="2"/>
                <w:szCs w:val="2"/>
              </w:rPr>
            </w:pPr>
          </w:p>
        </w:tc>
        <w:tc>
          <w:tcPr>
            <w:tcW w:w="5613" w:type="dxa"/>
            <w:tcBorders>
              <w:top w:val="single" w:sz="4" w:space="0" w:color="939598"/>
              <w:left w:val="single" w:sz="4" w:space="0" w:color="939598"/>
              <w:bottom w:val="single" w:sz="4" w:space="0" w:color="939598"/>
              <w:right w:val="single" w:sz="4" w:space="0" w:color="939598"/>
            </w:tcBorders>
          </w:tcPr>
          <w:p w:rsidR="00C3075C" w:rsidRDefault="0081041E" w:rsidP="00035495">
            <w:pPr>
              <w:pStyle w:val="TableParagraph"/>
              <w:spacing w:before="127"/>
              <w:ind w:left="170"/>
              <w:rPr>
                <w:b/>
                <w:sz w:val="18"/>
              </w:rPr>
            </w:pPr>
            <w:r>
              <w:rPr>
                <w:b/>
                <w:color w:val="913592"/>
                <w:sz w:val="18"/>
                <w:lang w:bidi="fr-FR"/>
              </w:rPr>
              <w:t>Mesurable</w:t>
            </w:r>
          </w:p>
          <w:p w:rsidR="00C3075C" w:rsidRDefault="0081041E" w:rsidP="00035495">
            <w:pPr>
              <w:pStyle w:val="TableParagraph"/>
              <w:numPr>
                <w:ilvl w:val="0"/>
                <w:numId w:val="8"/>
              </w:numPr>
              <w:tabs>
                <w:tab w:val="left" w:pos="530"/>
                <w:tab w:val="left" w:pos="531"/>
              </w:tabs>
              <w:spacing w:before="118" w:line="278" w:lineRule="auto"/>
              <w:rPr>
                <w:b/>
                <w:sz w:val="18"/>
              </w:rPr>
            </w:pPr>
            <w:r>
              <w:rPr>
                <w:color w:val="57585B"/>
                <w:sz w:val="18"/>
                <w:lang w:bidi="fr-FR"/>
              </w:rPr>
              <w:t>Les indicateurs sont-ils fiables et permettent-ils de mesurer clairement les résultats </w:t>
            </w:r>
            <w:r>
              <w:rPr>
                <w:b/>
                <w:color w:val="57585B"/>
                <w:sz w:val="18"/>
                <w:lang w:bidi="fr-FR"/>
              </w:rPr>
              <w:t>?</w:t>
            </w:r>
          </w:p>
          <w:p w:rsidR="00C3075C" w:rsidRDefault="0081041E" w:rsidP="00035495">
            <w:pPr>
              <w:pStyle w:val="TableParagraph"/>
              <w:numPr>
                <w:ilvl w:val="0"/>
                <w:numId w:val="8"/>
              </w:numPr>
              <w:tabs>
                <w:tab w:val="left" w:pos="530"/>
                <w:tab w:val="left" w:pos="531"/>
              </w:tabs>
              <w:spacing w:before="85" w:line="278" w:lineRule="auto"/>
              <w:rPr>
                <w:sz w:val="18"/>
              </w:rPr>
            </w:pPr>
            <w:r>
              <w:rPr>
                <w:color w:val="57585B"/>
                <w:sz w:val="18"/>
                <w:lang w:bidi="fr-FR"/>
              </w:rPr>
              <w:t>L’indicateur peut donc être observé, compté, analysé, etc.</w:t>
            </w:r>
          </w:p>
        </w:tc>
        <w:tc>
          <w:tcPr>
            <w:tcW w:w="1531" w:type="dxa"/>
            <w:tcBorders>
              <w:top w:val="single" w:sz="4" w:space="0" w:color="939598"/>
              <w:left w:val="single" w:sz="4" w:space="0" w:color="939598"/>
              <w:bottom w:val="single" w:sz="4" w:space="0" w:color="939598"/>
              <w:right w:val="single" w:sz="4" w:space="0" w:color="939598"/>
            </w:tcBorders>
          </w:tcPr>
          <w:p w:rsidR="007216C0" w:rsidRDefault="007216C0" w:rsidP="0078439E">
            <w:pPr>
              <w:pStyle w:val="TableParagraph"/>
              <w:spacing w:before="142"/>
              <w:ind w:left="113" w:right="113"/>
              <w:rPr>
                <w:sz w:val="18"/>
              </w:rPr>
            </w:pPr>
            <w:r>
              <w:rPr>
                <w:noProof/>
                <w:lang w:bidi="fr-FR"/>
              </w:rPr>
              <w:drawing>
                <wp:inline distT="0" distB="0" distL="0" distR="0" wp14:anchorId="25E22AEC" wp14:editId="70955CF3">
                  <wp:extent cx="91160" cy="91160"/>
                  <wp:effectExtent l="0" t="0" r="0" b="0"/>
                  <wp:docPr id="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7216C0" w:rsidRDefault="007216C0" w:rsidP="0078439E">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2D1BBF7A" wp14:editId="1C8D8610">
                  <wp:extent cx="91160" cy="91160"/>
                  <wp:effectExtent l="0" t="0" r="0" b="0"/>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C3075C" w:rsidRDefault="007216C0" w:rsidP="0078439E">
            <w:pPr>
              <w:pStyle w:val="TableParagraph"/>
              <w:spacing w:before="118"/>
              <w:ind w:left="113" w:right="113"/>
              <w:rPr>
                <w:sz w:val="18"/>
              </w:rPr>
            </w:pPr>
            <w:r>
              <w:rPr>
                <w:noProof/>
                <w:color w:val="57585B"/>
                <w:sz w:val="18"/>
                <w:lang w:bidi="fr-FR"/>
              </w:rPr>
              <w:drawing>
                <wp:inline distT="0" distB="0" distL="0" distR="0" wp14:anchorId="7C5CC603" wp14:editId="0E2555C2">
                  <wp:extent cx="91160" cy="91160"/>
                  <wp:effectExtent l="0" t="0" r="0" b="0"/>
                  <wp:docPr id="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top w:val="single" w:sz="4" w:space="0" w:color="939598"/>
              <w:left w:val="single" w:sz="4" w:space="0" w:color="939598"/>
              <w:bottom w:val="single" w:sz="4" w:space="0" w:color="939598"/>
              <w:right w:val="nil"/>
            </w:tcBorders>
          </w:tcPr>
          <w:p w:rsidR="00C3075C" w:rsidRPr="00E46684" w:rsidRDefault="0081041E" w:rsidP="00E46684">
            <w:pPr>
              <w:pStyle w:val="TableParagraph"/>
              <w:spacing w:before="127" w:line="278" w:lineRule="auto"/>
              <w:ind w:left="170" w:right="5"/>
              <w:rPr>
                <w:b/>
                <w:sz w:val="18"/>
              </w:rPr>
            </w:pPr>
            <w:r>
              <w:rPr>
                <w:color w:val="57585B"/>
                <w:spacing w:val="-4"/>
                <w:sz w:val="18"/>
                <w:lang w:bidi="fr-FR"/>
              </w:rPr>
              <w:t xml:space="preserve">Il existe parfois une ou plusieurs limites à la mesure de l’indicateur, qui le rendent finalement non mesurable. </w:t>
            </w:r>
            <w:r>
              <w:rPr>
                <w:b/>
                <w:color w:val="57585B"/>
                <w:sz w:val="18"/>
                <w:lang w:bidi="fr-FR"/>
              </w:rPr>
              <w:t>Une « vérification » peut être réalisée afin de déterminer s’il existe une quelconque limite qui empêcherait de mesurer l’indicateur.</w:t>
            </w:r>
          </w:p>
          <w:p w:rsidR="00C3075C" w:rsidRDefault="0081041E" w:rsidP="00035495">
            <w:pPr>
              <w:pStyle w:val="TableParagraph"/>
              <w:spacing w:line="273" w:lineRule="auto"/>
              <w:ind w:left="170" w:right="5"/>
              <w:rPr>
                <w:sz w:val="18"/>
              </w:rPr>
            </w:pPr>
            <w:r>
              <w:rPr>
                <w:noProof/>
                <w:position w:val="-3"/>
                <w:lang w:bidi="fr-FR"/>
              </w:rPr>
              <w:drawing>
                <wp:inline distT="0" distB="0" distL="0" distR="0" wp14:anchorId="3C381AE6" wp14:editId="4F6CCCAF">
                  <wp:extent cx="527977" cy="138279"/>
                  <wp:effectExtent l="0" t="0" r="0" b="1905"/>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8"/>
                <w:sz w:val="20"/>
                <w:lang w:bidi="fr-FR"/>
              </w:rPr>
              <w:t xml:space="preserve"> </w:t>
            </w:r>
            <w:r>
              <w:rPr>
                <w:color w:val="57585B"/>
                <w:sz w:val="18"/>
                <w:lang w:bidi="fr-FR"/>
              </w:rPr>
              <w:t>Prenons un indicateur défini comme le « pourcentage d’institutions de l’enseignement préprimaire qui répondent aux normes de qualité minimales ». Il est impossible de le mesurer si des facteurs tels que :</w:t>
            </w:r>
          </w:p>
          <w:p w:rsidR="00C3075C" w:rsidRDefault="0081041E" w:rsidP="00035495">
            <w:pPr>
              <w:pStyle w:val="TableParagraph"/>
              <w:numPr>
                <w:ilvl w:val="0"/>
                <w:numId w:val="7"/>
              </w:numPr>
              <w:tabs>
                <w:tab w:val="left" w:pos="530"/>
                <w:tab w:val="left" w:pos="531"/>
              </w:tabs>
              <w:spacing w:before="90"/>
              <w:ind w:right="5"/>
              <w:rPr>
                <w:sz w:val="18"/>
              </w:rPr>
            </w:pPr>
            <w:r>
              <w:rPr>
                <w:color w:val="57585B"/>
                <w:spacing w:val="-3"/>
                <w:sz w:val="18"/>
                <w:lang w:bidi="fr-FR"/>
              </w:rPr>
              <w:t>les critères d’évaluation des normes de qualité minimales n’existent pas,</w:t>
            </w:r>
          </w:p>
          <w:p w:rsidR="00C3075C" w:rsidRDefault="0081041E" w:rsidP="00035495">
            <w:pPr>
              <w:pStyle w:val="TableParagraph"/>
              <w:numPr>
                <w:ilvl w:val="0"/>
                <w:numId w:val="7"/>
              </w:numPr>
              <w:tabs>
                <w:tab w:val="left" w:pos="530"/>
                <w:tab w:val="left" w:pos="531"/>
              </w:tabs>
              <w:spacing w:before="118"/>
              <w:ind w:right="5"/>
              <w:rPr>
                <w:sz w:val="18"/>
              </w:rPr>
            </w:pPr>
            <w:r>
              <w:rPr>
                <w:color w:val="57585B"/>
                <w:spacing w:val="-4"/>
                <w:sz w:val="18"/>
                <w:lang w:bidi="fr-FR"/>
              </w:rPr>
              <w:t>aucun plan n’est prévu pour élaborer des normes de qualité minimales intégrées dans d’autres activités ou sous-activités,</w:t>
            </w:r>
          </w:p>
          <w:p w:rsidR="00C3075C" w:rsidRDefault="0081041E" w:rsidP="00035495">
            <w:pPr>
              <w:pStyle w:val="TableParagraph"/>
              <w:numPr>
                <w:ilvl w:val="0"/>
                <w:numId w:val="7"/>
              </w:numPr>
              <w:tabs>
                <w:tab w:val="left" w:pos="530"/>
                <w:tab w:val="left" w:pos="531"/>
              </w:tabs>
              <w:spacing w:before="118" w:line="278" w:lineRule="auto"/>
              <w:ind w:right="5"/>
              <w:rPr>
                <w:sz w:val="18"/>
              </w:rPr>
            </w:pPr>
            <w:r>
              <w:rPr>
                <w:color w:val="57585B"/>
                <w:spacing w:val="-3"/>
                <w:sz w:val="18"/>
                <w:lang w:bidi="fr-FR"/>
              </w:rPr>
              <w:t>les inspecteurs n’ont pas été formés à l’utilisation des critères d’évaluation des normes de qualité existantes, et aucune formation n’est prévue,</w:t>
            </w:r>
          </w:p>
          <w:p w:rsidR="00C3075C" w:rsidRDefault="0081041E" w:rsidP="00035495">
            <w:pPr>
              <w:pStyle w:val="TableParagraph"/>
              <w:numPr>
                <w:ilvl w:val="0"/>
                <w:numId w:val="7"/>
              </w:numPr>
              <w:tabs>
                <w:tab w:val="left" w:pos="530"/>
                <w:tab w:val="left" w:pos="531"/>
              </w:tabs>
              <w:spacing w:before="85"/>
              <w:ind w:right="5"/>
              <w:rPr>
                <w:sz w:val="18"/>
              </w:rPr>
            </w:pPr>
            <w:r>
              <w:rPr>
                <w:color w:val="57585B"/>
                <w:spacing w:val="-3"/>
                <w:sz w:val="18"/>
                <w:lang w:bidi="fr-FR"/>
              </w:rPr>
              <w:t>et/ou seul un petit échantillon d’écoles et d’enseignants sera observé.</w:t>
            </w:r>
          </w:p>
        </w:tc>
      </w:tr>
    </w:tbl>
    <w:p w:rsidR="00C3075C" w:rsidRDefault="00C3075C">
      <w:pPr>
        <w:rPr>
          <w:sz w:val="18"/>
        </w:rPr>
        <w:sectPr w:rsidR="00C3075C">
          <w:headerReference w:type="default" r:id="rId11"/>
          <w:type w:val="continuous"/>
          <w:pgSz w:w="20160" w:h="12240" w:orient="landscape"/>
          <w:pgMar w:top="880" w:right="1020" w:bottom="280" w:left="1000" w:header="571" w:footer="720" w:gutter="0"/>
          <w:pgNumType w:start="1"/>
          <w:cols w:space="720"/>
        </w:sect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5613"/>
        <w:gridCol w:w="1531"/>
        <w:gridCol w:w="8635"/>
      </w:tblGrid>
      <w:tr w:rsidR="00C3075C" w:rsidTr="002D27D3">
        <w:trPr>
          <w:trHeight w:val="615"/>
        </w:trPr>
        <w:tc>
          <w:tcPr>
            <w:tcW w:w="2115" w:type="dxa"/>
            <w:tcBorders>
              <w:left w:val="nil"/>
              <w:right w:val="single" w:sz="4" w:space="0" w:color="ABABAD"/>
            </w:tcBorders>
            <w:vAlign w:val="center"/>
          </w:tcPr>
          <w:p w:rsidR="00C3075C" w:rsidRDefault="0081041E" w:rsidP="002D27D3">
            <w:pPr>
              <w:pStyle w:val="TableParagraph"/>
              <w:ind w:left="0"/>
              <w:jc w:val="center"/>
              <w:rPr>
                <w:b/>
                <w:sz w:val="10"/>
              </w:rPr>
            </w:pPr>
            <w:r>
              <w:rPr>
                <w:b/>
                <w:color w:val="57585B"/>
                <w:sz w:val="18"/>
                <w:lang w:bidi="fr-FR"/>
              </w:rPr>
              <w:lastRenderedPageBreak/>
              <w:t xml:space="preserve">Type hiérarchique </w:t>
            </w:r>
            <w:r w:rsidR="00E318FF">
              <w:rPr>
                <w:b/>
                <w:color w:val="57585B"/>
                <w:sz w:val="18"/>
                <w:lang w:bidi="fr-FR"/>
              </w:rPr>
              <w:br/>
            </w:r>
            <w:r>
              <w:rPr>
                <w:b/>
                <w:color w:val="57585B"/>
                <w:sz w:val="18"/>
                <w:lang w:bidi="fr-FR"/>
              </w:rPr>
              <w:t>des indicateurs</w:t>
            </w:r>
            <w:r>
              <w:rPr>
                <w:b/>
                <w:color w:val="57585B"/>
                <w:position w:val="6"/>
                <w:sz w:val="10"/>
                <w:lang w:bidi="fr-FR"/>
              </w:rPr>
              <w:t>2</w:t>
            </w:r>
          </w:p>
        </w:tc>
        <w:tc>
          <w:tcPr>
            <w:tcW w:w="5613" w:type="dxa"/>
            <w:tcBorders>
              <w:left w:val="single" w:sz="4" w:space="0" w:color="ABABAD"/>
            </w:tcBorders>
            <w:vAlign w:val="center"/>
          </w:tcPr>
          <w:p w:rsidR="00C3075C" w:rsidRDefault="0081041E" w:rsidP="002D27D3">
            <w:pPr>
              <w:pStyle w:val="TableParagraph"/>
              <w:ind w:left="0"/>
              <w:jc w:val="center"/>
              <w:rPr>
                <w:sz w:val="18"/>
              </w:rPr>
            </w:pPr>
            <w:r>
              <w:rPr>
                <w:b/>
                <w:color w:val="57585B"/>
                <w:sz w:val="18"/>
                <w:lang w:bidi="fr-FR"/>
              </w:rPr>
              <w:t xml:space="preserve">Critères de définition des indicateurs </w:t>
            </w:r>
            <w:r>
              <w:rPr>
                <w:color w:val="57585B"/>
                <w:sz w:val="18"/>
                <w:lang w:bidi="fr-FR"/>
              </w:rPr>
              <w:t xml:space="preserve">(adaptés du </w:t>
            </w:r>
            <w:hyperlink r:id="rId12">
              <w:r>
                <w:rPr>
                  <w:color w:val="57585B"/>
                  <w:sz w:val="18"/>
                  <w:u w:val="single" w:color="57585B"/>
                  <w:lang w:bidi="fr-FR"/>
                </w:rPr>
                <w:t>module 4 du MOOC, pages 16-17</w:t>
              </w:r>
            </w:hyperlink>
            <w:r>
              <w:rPr>
                <w:color w:val="57585B"/>
                <w:sz w:val="18"/>
                <w:lang w:bidi="fr-FR"/>
              </w:rPr>
              <w:t xml:space="preserve"> et du </w:t>
            </w:r>
            <w:hyperlink r:id="rId13">
              <w:r>
                <w:rPr>
                  <w:color w:val="57585B"/>
                  <w:sz w:val="18"/>
                  <w:u w:val="single" w:color="57585B"/>
                  <w:lang w:bidi="fr-FR"/>
                </w:rPr>
                <w:t>module 5, pages 14-16</w:t>
              </w:r>
            </w:hyperlink>
            <w:r>
              <w:rPr>
                <w:color w:val="57585B"/>
                <w:sz w:val="18"/>
                <w:lang w:bidi="fr-FR"/>
              </w:rPr>
              <w:t>)</w:t>
            </w:r>
          </w:p>
        </w:tc>
        <w:tc>
          <w:tcPr>
            <w:tcW w:w="1531" w:type="dxa"/>
            <w:vAlign w:val="center"/>
          </w:tcPr>
          <w:p w:rsidR="00C3075C" w:rsidRDefault="0081041E" w:rsidP="002D27D3">
            <w:pPr>
              <w:pStyle w:val="TableParagraph"/>
              <w:ind w:left="0"/>
              <w:jc w:val="center"/>
              <w:rPr>
                <w:b/>
                <w:sz w:val="18"/>
              </w:rPr>
            </w:pPr>
            <w:r>
              <w:rPr>
                <w:b/>
                <w:color w:val="57585B"/>
                <w:sz w:val="18"/>
                <w:lang w:bidi="fr-FR"/>
              </w:rPr>
              <w:t>Réponse</w:t>
            </w:r>
          </w:p>
        </w:tc>
        <w:tc>
          <w:tcPr>
            <w:tcW w:w="8635" w:type="dxa"/>
            <w:tcBorders>
              <w:right w:val="nil"/>
            </w:tcBorders>
            <w:vAlign w:val="center"/>
          </w:tcPr>
          <w:p w:rsidR="00C3075C" w:rsidRDefault="0081041E" w:rsidP="002D27D3">
            <w:pPr>
              <w:pStyle w:val="TableParagraph"/>
              <w:ind w:left="0"/>
              <w:jc w:val="center"/>
              <w:rPr>
                <w:b/>
                <w:sz w:val="18"/>
              </w:rPr>
            </w:pPr>
            <w:r>
              <w:rPr>
                <w:b/>
                <w:color w:val="57585B"/>
                <w:sz w:val="18"/>
                <w:lang w:bidi="fr-FR"/>
              </w:rPr>
              <w:t>Considérations fréquentes pour l’application des critères, avec exemples</w:t>
            </w:r>
          </w:p>
        </w:tc>
      </w:tr>
      <w:tr w:rsidR="00C3075C" w:rsidTr="00084AFC">
        <w:trPr>
          <w:trHeight w:val="1971"/>
        </w:trPr>
        <w:tc>
          <w:tcPr>
            <w:tcW w:w="2115" w:type="dxa"/>
            <w:vMerge w:val="restart"/>
            <w:tcBorders>
              <w:left w:val="nil"/>
            </w:tcBorders>
            <w:shd w:val="clear" w:color="auto" w:fill="F1F2F2"/>
          </w:tcPr>
          <w:p w:rsidR="00C3075C" w:rsidRDefault="00C3075C">
            <w:pPr>
              <w:pStyle w:val="TableParagraph"/>
              <w:ind w:left="0"/>
              <w:rPr>
                <w:rFonts w:ascii="Times New Roman"/>
                <w:sz w:val="18"/>
              </w:rPr>
            </w:pPr>
          </w:p>
        </w:tc>
        <w:tc>
          <w:tcPr>
            <w:tcW w:w="5613" w:type="dxa"/>
          </w:tcPr>
          <w:p w:rsidR="00C3075C" w:rsidRDefault="00C3075C">
            <w:pPr>
              <w:pStyle w:val="TableParagraph"/>
              <w:ind w:left="0"/>
              <w:rPr>
                <w:rFonts w:ascii="Times New Roman"/>
                <w:sz w:val="18"/>
              </w:rPr>
            </w:pPr>
          </w:p>
        </w:tc>
        <w:tc>
          <w:tcPr>
            <w:tcW w:w="1531" w:type="dxa"/>
          </w:tcPr>
          <w:p w:rsidR="00C3075C" w:rsidRDefault="00C3075C">
            <w:pPr>
              <w:pStyle w:val="TableParagraph"/>
              <w:ind w:left="0"/>
              <w:rPr>
                <w:rFonts w:ascii="Times New Roman"/>
                <w:sz w:val="18"/>
              </w:rPr>
            </w:pPr>
          </w:p>
        </w:tc>
        <w:tc>
          <w:tcPr>
            <w:tcW w:w="8635" w:type="dxa"/>
            <w:tcBorders>
              <w:right w:val="nil"/>
            </w:tcBorders>
          </w:tcPr>
          <w:p w:rsidR="00C3075C" w:rsidRDefault="0081041E">
            <w:pPr>
              <w:pStyle w:val="TableParagraph"/>
              <w:spacing w:before="127" w:line="278" w:lineRule="auto"/>
              <w:ind w:right="236"/>
              <w:rPr>
                <w:sz w:val="18"/>
              </w:rPr>
            </w:pPr>
            <w:r>
              <w:rPr>
                <w:color w:val="57585B"/>
                <w:spacing w:val="-3"/>
                <w:sz w:val="18"/>
                <w:lang w:bidi="fr-FR"/>
              </w:rPr>
              <w:t>En outre, si les indicateurs tels que ceux relatifs à l’observation des salles de classe ne sont pas intentionnellement intégrés dans le protocole de collecte de données existant (par exemple, le protocole du système d’information sur la gestion des établissements d’enseignement (SIGE), les enquêtes auprès des ménages, les enquêtes démographiques et sanitaires, etc.) et/ou si l’enveloppe budgétaire pour l’EPE ne suffit pas pour effectuer des observations dans toutes les institutions, alors il se peut que les données observables de l’indicateur ne soient pas atteignables ni réalistes (voir ci-dessous les critères « atteignable » et « temporellement défini »).</w:t>
            </w:r>
          </w:p>
        </w:tc>
      </w:tr>
      <w:tr w:rsidR="00C3075C">
        <w:trPr>
          <w:trHeight w:val="4246"/>
        </w:trPr>
        <w:tc>
          <w:tcPr>
            <w:tcW w:w="2115" w:type="dxa"/>
            <w:vMerge/>
            <w:tcBorders>
              <w:top w:val="nil"/>
              <w:left w:val="nil"/>
            </w:tcBorders>
            <w:shd w:val="clear" w:color="auto" w:fill="F1F2F2"/>
          </w:tcPr>
          <w:p w:rsidR="00C3075C" w:rsidRDefault="00C3075C">
            <w:pPr>
              <w:rPr>
                <w:sz w:val="2"/>
                <w:szCs w:val="2"/>
              </w:rPr>
            </w:pPr>
          </w:p>
        </w:tc>
        <w:tc>
          <w:tcPr>
            <w:tcW w:w="5613" w:type="dxa"/>
          </w:tcPr>
          <w:p w:rsidR="00C3075C" w:rsidRDefault="0081041E">
            <w:pPr>
              <w:pStyle w:val="TableParagraph"/>
              <w:spacing w:before="127"/>
              <w:ind w:left="168"/>
              <w:rPr>
                <w:b/>
                <w:sz w:val="18"/>
              </w:rPr>
            </w:pPr>
            <w:r>
              <w:rPr>
                <w:b/>
                <w:color w:val="913592"/>
                <w:sz w:val="18"/>
                <w:lang w:bidi="fr-FR"/>
              </w:rPr>
              <w:t>Atteignable</w:t>
            </w:r>
          </w:p>
          <w:p w:rsidR="00C3075C" w:rsidRDefault="0081041E">
            <w:pPr>
              <w:pStyle w:val="TableParagraph"/>
              <w:numPr>
                <w:ilvl w:val="0"/>
                <w:numId w:val="6"/>
              </w:numPr>
              <w:tabs>
                <w:tab w:val="left" w:pos="528"/>
                <w:tab w:val="left" w:pos="529"/>
              </w:tabs>
              <w:spacing w:before="118" w:line="278" w:lineRule="auto"/>
              <w:ind w:right="419"/>
              <w:rPr>
                <w:b/>
                <w:sz w:val="18"/>
              </w:rPr>
            </w:pPr>
            <w:r>
              <w:rPr>
                <w:color w:val="57585B"/>
                <w:sz w:val="18"/>
                <w:lang w:bidi="fr-FR"/>
              </w:rPr>
              <w:t>Les indicateurs mesurent-ils une activité dont la mise en œuvre est faisable et réaliste ?</w:t>
            </w:r>
          </w:p>
          <w:p w:rsidR="00C3075C" w:rsidRDefault="0081041E">
            <w:pPr>
              <w:pStyle w:val="TableParagraph"/>
              <w:spacing w:before="85"/>
              <w:ind w:left="168"/>
              <w:rPr>
                <w:sz w:val="18"/>
              </w:rPr>
            </w:pPr>
            <w:r>
              <w:rPr>
                <w:color w:val="57585B"/>
                <w:sz w:val="18"/>
                <w:lang w:bidi="fr-FR"/>
              </w:rPr>
              <w:t>C’est-à-dire :</w:t>
            </w:r>
          </w:p>
          <w:p w:rsidR="00C3075C" w:rsidRDefault="0081041E">
            <w:pPr>
              <w:pStyle w:val="TableParagraph"/>
              <w:numPr>
                <w:ilvl w:val="0"/>
                <w:numId w:val="6"/>
              </w:numPr>
              <w:tabs>
                <w:tab w:val="left" w:pos="528"/>
                <w:tab w:val="left" w:pos="529"/>
              </w:tabs>
              <w:spacing w:before="118" w:line="278" w:lineRule="auto"/>
              <w:ind w:right="523"/>
              <w:rPr>
                <w:sz w:val="18"/>
              </w:rPr>
            </w:pPr>
            <w:r>
              <w:rPr>
                <w:color w:val="57585B"/>
                <w:sz w:val="18"/>
                <w:lang w:bidi="fr-FR"/>
              </w:rPr>
              <w:t>Existe-t-il les ressources humaines, financières et techniques nécessaires à sa mise en œuvre ?</w:t>
            </w:r>
          </w:p>
          <w:p w:rsidR="00C3075C" w:rsidRDefault="0081041E">
            <w:pPr>
              <w:pStyle w:val="TableParagraph"/>
              <w:numPr>
                <w:ilvl w:val="0"/>
                <w:numId w:val="6"/>
              </w:numPr>
              <w:tabs>
                <w:tab w:val="left" w:pos="528"/>
                <w:tab w:val="left" w:pos="529"/>
              </w:tabs>
              <w:spacing w:before="85"/>
              <w:rPr>
                <w:sz w:val="18"/>
              </w:rPr>
            </w:pPr>
            <w:r>
              <w:rPr>
                <w:color w:val="57585B"/>
                <w:sz w:val="18"/>
                <w:lang w:bidi="fr-FR"/>
              </w:rPr>
              <w:t>Le temps nécessaire à la réalisation de cet indicateur est-il disponible ?</w:t>
            </w:r>
          </w:p>
        </w:tc>
        <w:tc>
          <w:tcPr>
            <w:tcW w:w="1531" w:type="dxa"/>
          </w:tcPr>
          <w:p w:rsidR="0041773C" w:rsidRDefault="0041773C" w:rsidP="0041773C">
            <w:pPr>
              <w:pStyle w:val="TableParagraph"/>
              <w:spacing w:before="142"/>
              <w:ind w:left="113" w:right="113"/>
              <w:rPr>
                <w:sz w:val="18"/>
              </w:rPr>
            </w:pPr>
            <w:r>
              <w:rPr>
                <w:noProof/>
                <w:lang w:bidi="fr-FR"/>
              </w:rPr>
              <w:drawing>
                <wp:inline distT="0" distB="0" distL="0" distR="0" wp14:anchorId="22EC90D2" wp14:editId="687C9C6E">
                  <wp:extent cx="91160" cy="91160"/>
                  <wp:effectExtent l="0" t="0" r="0" b="0"/>
                  <wp:docPr id="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41773C" w:rsidRDefault="0041773C" w:rsidP="0041773C">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0F8A277E" wp14:editId="4219C618">
                  <wp:extent cx="91160" cy="91160"/>
                  <wp:effectExtent l="0" t="0" r="0" b="0"/>
                  <wp:docPr id="2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C3075C" w:rsidRDefault="0041773C" w:rsidP="0041773C">
            <w:pPr>
              <w:pStyle w:val="TableParagraph"/>
              <w:spacing w:before="118"/>
              <w:ind w:left="113" w:right="113"/>
              <w:rPr>
                <w:sz w:val="18"/>
              </w:rPr>
            </w:pPr>
            <w:r>
              <w:rPr>
                <w:noProof/>
                <w:color w:val="57585B"/>
                <w:sz w:val="18"/>
                <w:lang w:bidi="fr-FR"/>
              </w:rPr>
              <w:drawing>
                <wp:inline distT="0" distB="0" distL="0" distR="0" wp14:anchorId="71D15ED5" wp14:editId="08300299">
                  <wp:extent cx="91160" cy="91160"/>
                  <wp:effectExtent l="0" t="0" r="0" b="0"/>
                  <wp:docPr id="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right w:val="nil"/>
            </w:tcBorders>
          </w:tcPr>
          <w:p w:rsidR="00C3075C" w:rsidRDefault="0081041E">
            <w:pPr>
              <w:pStyle w:val="TableParagraph"/>
              <w:spacing w:before="127"/>
              <w:rPr>
                <w:sz w:val="18"/>
              </w:rPr>
            </w:pPr>
            <w:r>
              <w:rPr>
                <w:color w:val="57585B"/>
                <w:sz w:val="18"/>
                <w:lang w:bidi="fr-FR"/>
              </w:rPr>
              <w:t>Une combinaison d’activités et de ressources est souvent nécessaire pour atteindre les effets désirés.</w:t>
            </w:r>
          </w:p>
          <w:p w:rsidR="00C3075C" w:rsidRDefault="0081041E">
            <w:pPr>
              <w:pStyle w:val="TableParagraph"/>
              <w:spacing w:before="118" w:line="278" w:lineRule="auto"/>
              <w:ind w:right="236"/>
              <w:rPr>
                <w:b/>
                <w:sz w:val="18"/>
              </w:rPr>
            </w:pPr>
            <w:r>
              <w:rPr>
                <w:b/>
                <w:color w:val="57585B"/>
                <w:sz w:val="18"/>
                <w:lang w:bidi="fr-FR"/>
              </w:rPr>
              <w:t>La combinaison complète des activités et des sous-activités devra être exposée afin d’identifier tous les indicateurs d’activité et les ressources nécessaires pour le cadre de résultats du plan sectoriel d’éducation.</w:t>
            </w:r>
          </w:p>
          <w:p w:rsidR="00C3075C" w:rsidRPr="00DA355E" w:rsidRDefault="0081041E" w:rsidP="00DA355E">
            <w:pPr>
              <w:pStyle w:val="TableParagraph"/>
              <w:spacing w:before="85" w:line="278" w:lineRule="auto"/>
              <w:ind w:right="45"/>
              <w:rPr>
                <w:b/>
                <w:sz w:val="18"/>
              </w:rPr>
            </w:pPr>
            <w:r>
              <w:rPr>
                <w:b/>
                <w:color w:val="57585B"/>
                <w:spacing w:val="-5"/>
                <w:sz w:val="18"/>
                <w:lang w:bidi="fr-FR"/>
              </w:rPr>
              <w:t>Une fois les ressources présentées en détail, une « vérification » de la faisabilité (y compris de la cible proposée) doit être réalisée afin de déterminer si les ressources humaines et financières sont disponibles ou doivent être ajoutées pour compléter l’activité.</w:t>
            </w:r>
          </w:p>
          <w:p w:rsidR="00C3075C" w:rsidRDefault="0081041E">
            <w:pPr>
              <w:pStyle w:val="TableParagraph"/>
              <w:spacing w:line="273" w:lineRule="auto"/>
              <w:ind w:right="311"/>
              <w:rPr>
                <w:sz w:val="18"/>
              </w:rPr>
            </w:pPr>
            <w:r>
              <w:rPr>
                <w:noProof/>
                <w:position w:val="-3"/>
                <w:lang w:bidi="fr-FR"/>
              </w:rPr>
              <w:drawing>
                <wp:inline distT="0" distB="0" distL="0" distR="0" wp14:anchorId="29402228" wp14:editId="1C6B2DE1">
                  <wp:extent cx="527977" cy="138279"/>
                  <wp:effectExtent l="0" t="0" r="0" b="1905"/>
                  <wp:docPr id="2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5.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5"/>
                <w:sz w:val="20"/>
                <w:lang w:bidi="fr-FR"/>
              </w:rPr>
              <w:t xml:space="preserve"> </w:t>
            </w:r>
            <w:r>
              <w:rPr>
                <w:color w:val="57585B"/>
                <w:sz w:val="18"/>
                <w:lang w:bidi="fr-FR"/>
              </w:rPr>
              <w:t>Considérons un indicateur portant sur le « nombre d’enseignants formés au programme révisé d’EPE » dont l’objectif serait de former 100 % de tous les enseignants d’EPE en un an. Est-ce faisable ?</w:t>
            </w:r>
          </w:p>
          <w:p w:rsidR="00C3075C" w:rsidRPr="00D83BD5" w:rsidRDefault="0081041E">
            <w:pPr>
              <w:pStyle w:val="TableParagraph"/>
              <w:spacing w:before="90" w:line="278" w:lineRule="auto"/>
              <w:ind w:right="274"/>
              <w:rPr>
                <w:sz w:val="18"/>
              </w:rPr>
            </w:pPr>
            <w:r w:rsidRPr="00D83BD5">
              <w:rPr>
                <w:color w:val="57585B"/>
                <w:sz w:val="18"/>
                <w:lang w:bidi="fr-FR"/>
              </w:rPr>
              <w:t>Autre exemple : augmenter le pourcentage d’élèves ayant effectué une année d</w:t>
            </w:r>
            <w:r w:rsidR="00086DD3" w:rsidRPr="00D83BD5">
              <w:rPr>
                <w:color w:val="57585B"/>
                <w:sz w:val="18"/>
                <w:lang w:bidi="fr-FR"/>
              </w:rPr>
              <w:t>’</w:t>
            </w:r>
            <w:r w:rsidRPr="00D83BD5">
              <w:rPr>
                <w:color w:val="57585B"/>
                <w:sz w:val="18"/>
                <w:lang w:bidi="fr-FR"/>
              </w:rPr>
              <w:t>enseignement préprimaire avec un objectif de 100 % (en couvrant tous les enfants au niveau national) en 2 ans. Comme dans l</w:t>
            </w:r>
            <w:r w:rsidR="00086DD3" w:rsidRPr="00D83BD5">
              <w:rPr>
                <w:color w:val="57585B"/>
                <w:sz w:val="18"/>
                <w:lang w:bidi="fr-FR"/>
              </w:rPr>
              <w:t>’</w:t>
            </w:r>
            <w:r w:rsidRPr="00D83BD5">
              <w:rPr>
                <w:color w:val="57585B"/>
                <w:sz w:val="18"/>
                <w:lang w:bidi="fr-FR"/>
              </w:rPr>
              <w:t>exemple présenté ci-dessous dans la section de définition des objectifs de cet outil, ce n</w:t>
            </w:r>
            <w:r w:rsidR="00086DD3" w:rsidRPr="00D83BD5">
              <w:rPr>
                <w:color w:val="57585B"/>
                <w:sz w:val="18"/>
                <w:lang w:bidi="fr-FR"/>
              </w:rPr>
              <w:t>’</w:t>
            </w:r>
            <w:r w:rsidRPr="00D83BD5">
              <w:rPr>
                <w:color w:val="57585B"/>
                <w:sz w:val="18"/>
                <w:lang w:bidi="fr-FR"/>
              </w:rPr>
              <w:t>est probablement pas réalisable.</w:t>
            </w:r>
          </w:p>
          <w:p w:rsidR="00C3075C" w:rsidRDefault="0081041E">
            <w:pPr>
              <w:pStyle w:val="TableParagraph"/>
              <w:spacing w:before="84" w:line="278" w:lineRule="auto"/>
              <w:ind w:right="350"/>
              <w:rPr>
                <w:sz w:val="18"/>
              </w:rPr>
            </w:pPr>
            <w:r w:rsidRPr="00D83BD5">
              <w:rPr>
                <w:color w:val="57585B"/>
                <w:sz w:val="18"/>
                <w:lang w:bidi="fr-FR"/>
              </w:rPr>
              <w:t>Pour atteindre les effets escomptés, des ressources supplémentaires encore jamais prises en compte dans les plans et les budgets peuvent s’avérer nécessaires. Il peut s’agir d’investissements dans des activités de communication visant le changement des comportements ou bien des investissements dans des infrastructures et des supports d’enseignement et d’apprentissage, par exemple pour tenir compte des enfants en situation de handicap et pour les inclure.</w:t>
            </w:r>
          </w:p>
        </w:tc>
      </w:tr>
      <w:tr w:rsidR="00C3075C">
        <w:trPr>
          <w:trHeight w:val="1421"/>
        </w:trPr>
        <w:tc>
          <w:tcPr>
            <w:tcW w:w="2115" w:type="dxa"/>
            <w:vMerge/>
            <w:tcBorders>
              <w:top w:val="nil"/>
              <w:left w:val="nil"/>
            </w:tcBorders>
            <w:shd w:val="clear" w:color="auto" w:fill="F1F2F2"/>
          </w:tcPr>
          <w:p w:rsidR="00C3075C" w:rsidRDefault="00C3075C">
            <w:pPr>
              <w:rPr>
                <w:sz w:val="2"/>
                <w:szCs w:val="2"/>
              </w:rPr>
            </w:pPr>
          </w:p>
        </w:tc>
        <w:tc>
          <w:tcPr>
            <w:tcW w:w="5613" w:type="dxa"/>
          </w:tcPr>
          <w:p w:rsidR="00C3075C" w:rsidRDefault="0081041E">
            <w:pPr>
              <w:pStyle w:val="TableParagraph"/>
              <w:spacing w:before="127"/>
              <w:ind w:left="168"/>
              <w:rPr>
                <w:b/>
                <w:sz w:val="18"/>
              </w:rPr>
            </w:pPr>
            <w:r>
              <w:rPr>
                <w:b/>
                <w:color w:val="913592"/>
                <w:sz w:val="18"/>
                <w:lang w:bidi="fr-FR"/>
              </w:rPr>
              <w:t>Réaliste</w:t>
            </w:r>
          </w:p>
          <w:p w:rsidR="00C3075C" w:rsidRDefault="0081041E">
            <w:pPr>
              <w:pStyle w:val="TableParagraph"/>
              <w:numPr>
                <w:ilvl w:val="0"/>
                <w:numId w:val="5"/>
              </w:numPr>
              <w:tabs>
                <w:tab w:val="left" w:pos="528"/>
                <w:tab w:val="left" w:pos="529"/>
              </w:tabs>
              <w:spacing w:before="118" w:line="278" w:lineRule="auto"/>
              <w:ind w:right="866"/>
              <w:rPr>
                <w:sz w:val="18"/>
              </w:rPr>
            </w:pPr>
            <w:r>
              <w:rPr>
                <w:color w:val="57585B"/>
                <w:sz w:val="18"/>
                <w:lang w:bidi="fr-FR"/>
              </w:rPr>
              <w:t>L’indicateur est-il pertinent par rapport aux produits et aux effets escomptés ?</w:t>
            </w:r>
          </w:p>
        </w:tc>
        <w:tc>
          <w:tcPr>
            <w:tcW w:w="1531" w:type="dxa"/>
          </w:tcPr>
          <w:p w:rsidR="00DA355E" w:rsidRDefault="00DA355E" w:rsidP="00DA355E">
            <w:pPr>
              <w:pStyle w:val="TableParagraph"/>
              <w:spacing w:before="142"/>
              <w:ind w:left="113" w:right="113"/>
              <w:rPr>
                <w:sz w:val="18"/>
              </w:rPr>
            </w:pPr>
            <w:r>
              <w:rPr>
                <w:noProof/>
                <w:lang w:bidi="fr-FR"/>
              </w:rPr>
              <w:drawing>
                <wp:inline distT="0" distB="0" distL="0" distR="0" wp14:anchorId="1D122C57" wp14:editId="5D3BB422">
                  <wp:extent cx="91160" cy="91160"/>
                  <wp:effectExtent l="0" t="0" r="0" b="0"/>
                  <wp:docPr id="3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DA355E" w:rsidRDefault="00DA355E" w:rsidP="00DA355E">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567A74D6" wp14:editId="32E11294">
                  <wp:extent cx="91160" cy="91160"/>
                  <wp:effectExtent l="0" t="0" r="0" b="0"/>
                  <wp:docPr id="3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C3075C" w:rsidRDefault="00DA355E" w:rsidP="00DA355E">
            <w:pPr>
              <w:pStyle w:val="TableParagraph"/>
              <w:spacing w:before="118"/>
              <w:ind w:left="113" w:right="113"/>
              <w:rPr>
                <w:sz w:val="18"/>
              </w:rPr>
            </w:pPr>
            <w:r>
              <w:rPr>
                <w:noProof/>
                <w:color w:val="57585B"/>
                <w:sz w:val="18"/>
                <w:lang w:bidi="fr-FR"/>
              </w:rPr>
              <w:drawing>
                <wp:inline distT="0" distB="0" distL="0" distR="0" wp14:anchorId="7F9293A0" wp14:editId="3536557D">
                  <wp:extent cx="91160" cy="91160"/>
                  <wp:effectExtent l="0" t="0" r="0" b="0"/>
                  <wp:docPr id="3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right w:val="nil"/>
            </w:tcBorders>
          </w:tcPr>
          <w:p w:rsidR="00C3075C" w:rsidRDefault="0081041E">
            <w:pPr>
              <w:pStyle w:val="TableParagraph"/>
              <w:spacing w:before="127" w:line="278" w:lineRule="auto"/>
              <w:ind w:right="236"/>
              <w:rPr>
                <w:b/>
                <w:sz w:val="18"/>
              </w:rPr>
            </w:pPr>
            <w:r>
              <w:rPr>
                <w:color w:val="57585B"/>
                <w:sz w:val="18"/>
                <w:lang w:bidi="fr-FR"/>
              </w:rPr>
              <w:t xml:space="preserve">Le premier niveau de pertinence d’un indicateur est de vérifier s’il est pertinent par rapport au résultat qu’il cherche à mesurer. </w:t>
            </w:r>
            <w:r>
              <w:rPr>
                <w:b/>
                <w:color w:val="57585B"/>
                <w:sz w:val="18"/>
                <w:lang w:bidi="fr-FR"/>
              </w:rPr>
              <w:t>On peut donc procéder à une « vérification » de la pertinence.</w:t>
            </w:r>
          </w:p>
          <w:p w:rsidR="00C3075C" w:rsidRDefault="00C3075C">
            <w:pPr>
              <w:pStyle w:val="TableParagraph"/>
              <w:ind w:left="0"/>
              <w:rPr>
                <w:b/>
                <w:sz w:val="20"/>
              </w:rPr>
            </w:pPr>
          </w:p>
          <w:p w:rsidR="00C3075C" w:rsidRDefault="0081041E">
            <w:pPr>
              <w:pStyle w:val="TableParagraph"/>
              <w:spacing w:line="273" w:lineRule="auto"/>
              <w:ind w:right="236"/>
              <w:rPr>
                <w:sz w:val="18"/>
              </w:rPr>
            </w:pPr>
            <w:r>
              <w:rPr>
                <w:noProof/>
                <w:position w:val="-3"/>
                <w:lang w:bidi="fr-FR"/>
              </w:rPr>
              <w:drawing>
                <wp:inline distT="0" distB="0" distL="0" distR="0" wp14:anchorId="121A18D1" wp14:editId="0E36BE4E">
                  <wp:extent cx="527977" cy="138279"/>
                  <wp:effectExtent l="0" t="0" r="0" b="1905"/>
                  <wp:docPr id="3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6.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5"/>
                <w:sz w:val="20"/>
                <w:lang w:bidi="fr-FR"/>
              </w:rPr>
              <w:t xml:space="preserve"> </w:t>
            </w:r>
            <w:r>
              <w:rPr>
                <w:color w:val="57585B"/>
                <w:sz w:val="18"/>
                <w:lang w:bidi="fr-FR"/>
              </w:rPr>
              <w:t>Si l</w:t>
            </w:r>
            <w:r w:rsidR="00086DD3">
              <w:rPr>
                <w:color w:val="57585B"/>
                <w:sz w:val="18"/>
                <w:lang w:bidi="fr-FR"/>
              </w:rPr>
              <w:t>’</w:t>
            </w:r>
            <w:r>
              <w:rPr>
                <w:color w:val="57585B"/>
                <w:sz w:val="18"/>
                <w:lang w:bidi="fr-FR"/>
              </w:rPr>
              <w:t>activité porte sur la construction de salles de classe, le ratio nombre d’élèves/enseignant formé n</w:t>
            </w:r>
            <w:r w:rsidR="00086DD3">
              <w:rPr>
                <w:color w:val="57585B"/>
                <w:sz w:val="18"/>
                <w:lang w:bidi="fr-FR"/>
              </w:rPr>
              <w:t>’</w:t>
            </w:r>
            <w:r>
              <w:rPr>
                <w:color w:val="57585B"/>
                <w:sz w:val="18"/>
                <w:lang w:bidi="fr-FR"/>
              </w:rPr>
              <w:t>est pas l</w:t>
            </w:r>
            <w:r w:rsidR="00086DD3">
              <w:rPr>
                <w:color w:val="57585B"/>
                <w:sz w:val="18"/>
                <w:lang w:bidi="fr-FR"/>
              </w:rPr>
              <w:t>’</w:t>
            </w:r>
            <w:r>
              <w:rPr>
                <w:color w:val="57585B"/>
                <w:sz w:val="18"/>
                <w:lang w:bidi="fr-FR"/>
              </w:rPr>
              <w:t>indicateur le plus pertinent.</w:t>
            </w:r>
          </w:p>
        </w:tc>
      </w:tr>
    </w:tbl>
    <w:p w:rsidR="00C3075C" w:rsidRDefault="00C3075C">
      <w:pPr>
        <w:rPr>
          <w:sz w:val="18"/>
        </w:rPr>
        <w:sectPr w:rsidR="00C3075C">
          <w:pgSz w:w="20160" w:h="12240" w:orient="landscape"/>
          <w:pgMar w:top="880" w:right="1020" w:bottom="280" w:left="1000" w:header="571" w:footer="0" w:gutter="0"/>
          <w:cols w:space="720"/>
        </w:sectPr>
      </w:pPr>
    </w:p>
    <w:p w:rsidR="00C3075C" w:rsidRDefault="00C3075C">
      <w:pPr>
        <w:pStyle w:val="Textoindependiente"/>
        <w:spacing w:before="3" w:after="1"/>
        <w:rPr>
          <w:rFonts w:ascii="Times New Roman"/>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5613"/>
        <w:gridCol w:w="1531"/>
        <w:gridCol w:w="8635"/>
      </w:tblGrid>
      <w:tr w:rsidR="00C3075C" w:rsidTr="00C653CF">
        <w:trPr>
          <w:trHeight w:val="661"/>
        </w:trPr>
        <w:tc>
          <w:tcPr>
            <w:tcW w:w="2115" w:type="dxa"/>
            <w:tcBorders>
              <w:left w:val="nil"/>
              <w:right w:val="single" w:sz="4" w:space="0" w:color="ABABAD"/>
            </w:tcBorders>
            <w:vAlign w:val="center"/>
          </w:tcPr>
          <w:p w:rsidR="00C3075C" w:rsidRDefault="0081041E" w:rsidP="004041A7">
            <w:pPr>
              <w:pStyle w:val="TableParagraph"/>
              <w:ind w:left="0"/>
              <w:jc w:val="center"/>
              <w:rPr>
                <w:b/>
                <w:sz w:val="10"/>
              </w:rPr>
            </w:pPr>
            <w:r>
              <w:rPr>
                <w:b/>
                <w:color w:val="57585B"/>
                <w:sz w:val="18"/>
                <w:lang w:bidi="fr-FR"/>
              </w:rPr>
              <w:t xml:space="preserve">Type hiérarchique </w:t>
            </w:r>
            <w:r w:rsidR="003B0E50">
              <w:rPr>
                <w:b/>
                <w:color w:val="57585B"/>
                <w:sz w:val="18"/>
                <w:lang w:bidi="fr-FR"/>
              </w:rPr>
              <w:br/>
            </w:r>
            <w:r>
              <w:rPr>
                <w:b/>
                <w:color w:val="57585B"/>
                <w:sz w:val="18"/>
                <w:lang w:bidi="fr-FR"/>
              </w:rPr>
              <w:t>des indicateurs</w:t>
            </w:r>
            <w:r>
              <w:rPr>
                <w:b/>
                <w:color w:val="57585B"/>
                <w:position w:val="6"/>
                <w:sz w:val="10"/>
                <w:lang w:bidi="fr-FR"/>
              </w:rPr>
              <w:t>2</w:t>
            </w:r>
          </w:p>
        </w:tc>
        <w:tc>
          <w:tcPr>
            <w:tcW w:w="5613" w:type="dxa"/>
            <w:tcBorders>
              <w:left w:val="single" w:sz="4" w:space="0" w:color="ABABAD"/>
            </w:tcBorders>
            <w:vAlign w:val="center"/>
          </w:tcPr>
          <w:p w:rsidR="00C3075C" w:rsidRDefault="0081041E" w:rsidP="004041A7">
            <w:pPr>
              <w:pStyle w:val="TableParagraph"/>
              <w:ind w:left="0"/>
              <w:jc w:val="center"/>
              <w:rPr>
                <w:sz w:val="18"/>
              </w:rPr>
            </w:pPr>
            <w:r>
              <w:rPr>
                <w:b/>
                <w:color w:val="57585B"/>
                <w:sz w:val="18"/>
                <w:lang w:bidi="fr-FR"/>
              </w:rPr>
              <w:t xml:space="preserve">Critères de définition des indicateurs </w:t>
            </w:r>
            <w:r>
              <w:rPr>
                <w:color w:val="57585B"/>
                <w:sz w:val="18"/>
                <w:lang w:bidi="fr-FR"/>
              </w:rPr>
              <w:t xml:space="preserve">(adaptés du </w:t>
            </w:r>
            <w:hyperlink r:id="rId14">
              <w:r>
                <w:rPr>
                  <w:color w:val="57585B"/>
                  <w:sz w:val="18"/>
                  <w:u w:val="single" w:color="57585B"/>
                  <w:lang w:bidi="fr-FR"/>
                </w:rPr>
                <w:t>module 4 du MOOC, pages 16-17</w:t>
              </w:r>
            </w:hyperlink>
            <w:r>
              <w:rPr>
                <w:color w:val="57585B"/>
                <w:sz w:val="18"/>
                <w:lang w:bidi="fr-FR"/>
              </w:rPr>
              <w:t xml:space="preserve"> et du </w:t>
            </w:r>
            <w:hyperlink r:id="rId15">
              <w:r>
                <w:rPr>
                  <w:color w:val="57585B"/>
                  <w:sz w:val="18"/>
                  <w:u w:val="single" w:color="57585B"/>
                  <w:lang w:bidi="fr-FR"/>
                </w:rPr>
                <w:t>module 5, pages 14-16</w:t>
              </w:r>
            </w:hyperlink>
            <w:r>
              <w:rPr>
                <w:color w:val="57585B"/>
                <w:sz w:val="18"/>
                <w:lang w:bidi="fr-FR"/>
              </w:rPr>
              <w:t>)</w:t>
            </w:r>
          </w:p>
        </w:tc>
        <w:tc>
          <w:tcPr>
            <w:tcW w:w="1531" w:type="dxa"/>
            <w:vAlign w:val="center"/>
          </w:tcPr>
          <w:p w:rsidR="00C3075C" w:rsidRDefault="0081041E" w:rsidP="004041A7">
            <w:pPr>
              <w:pStyle w:val="TableParagraph"/>
              <w:ind w:left="0"/>
              <w:jc w:val="center"/>
              <w:rPr>
                <w:b/>
                <w:sz w:val="18"/>
              </w:rPr>
            </w:pPr>
            <w:r>
              <w:rPr>
                <w:b/>
                <w:color w:val="57585B"/>
                <w:sz w:val="18"/>
                <w:lang w:bidi="fr-FR"/>
              </w:rPr>
              <w:t>Réponse</w:t>
            </w:r>
          </w:p>
        </w:tc>
        <w:tc>
          <w:tcPr>
            <w:tcW w:w="8635" w:type="dxa"/>
            <w:tcBorders>
              <w:right w:val="nil"/>
            </w:tcBorders>
            <w:vAlign w:val="center"/>
          </w:tcPr>
          <w:p w:rsidR="00C3075C" w:rsidRDefault="0081041E" w:rsidP="004041A7">
            <w:pPr>
              <w:pStyle w:val="TableParagraph"/>
              <w:ind w:left="0"/>
              <w:jc w:val="center"/>
              <w:rPr>
                <w:b/>
                <w:sz w:val="18"/>
              </w:rPr>
            </w:pPr>
            <w:r>
              <w:rPr>
                <w:b/>
                <w:color w:val="57585B"/>
                <w:sz w:val="18"/>
                <w:lang w:bidi="fr-FR"/>
              </w:rPr>
              <w:t>Considérations fréquentes pour l’application des critères, avec exemples</w:t>
            </w:r>
          </w:p>
        </w:tc>
      </w:tr>
      <w:tr w:rsidR="008A3919" w:rsidTr="00084AFC">
        <w:trPr>
          <w:trHeight w:val="3392"/>
        </w:trPr>
        <w:tc>
          <w:tcPr>
            <w:tcW w:w="2115" w:type="dxa"/>
            <w:tcBorders>
              <w:left w:val="nil"/>
            </w:tcBorders>
            <w:shd w:val="clear" w:color="auto" w:fill="F1F2F2"/>
          </w:tcPr>
          <w:p w:rsidR="008A3919" w:rsidRDefault="008A3919" w:rsidP="008A3919">
            <w:pPr>
              <w:pStyle w:val="TableParagraph"/>
              <w:ind w:left="0"/>
              <w:rPr>
                <w:rFonts w:ascii="Times New Roman"/>
                <w:sz w:val="18"/>
              </w:rPr>
            </w:pPr>
          </w:p>
        </w:tc>
        <w:tc>
          <w:tcPr>
            <w:tcW w:w="5613" w:type="dxa"/>
          </w:tcPr>
          <w:p w:rsidR="008A3919" w:rsidRDefault="008A3919" w:rsidP="00084AFC">
            <w:pPr>
              <w:pStyle w:val="TableParagraph"/>
              <w:spacing w:before="127"/>
              <w:ind w:left="168"/>
              <w:rPr>
                <w:b/>
                <w:sz w:val="18"/>
              </w:rPr>
            </w:pPr>
            <w:r>
              <w:rPr>
                <w:b/>
                <w:color w:val="913592"/>
                <w:sz w:val="18"/>
                <w:lang w:bidi="fr-FR"/>
              </w:rPr>
              <w:t>Temporellement défini</w:t>
            </w:r>
          </w:p>
          <w:p w:rsidR="008A3919" w:rsidRDefault="008A3919" w:rsidP="00084AFC">
            <w:pPr>
              <w:pStyle w:val="TableParagraph"/>
              <w:numPr>
                <w:ilvl w:val="0"/>
                <w:numId w:val="4"/>
              </w:numPr>
              <w:tabs>
                <w:tab w:val="left" w:pos="528"/>
                <w:tab w:val="left" w:pos="529"/>
              </w:tabs>
              <w:spacing w:before="118" w:line="278" w:lineRule="auto"/>
              <w:rPr>
                <w:sz w:val="18"/>
              </w:rPr>
            </w:pPr>
            <w:r>
              <w:rPr>
                <w:color w:val="57585B"/>
                <w:sz w:val="18"/>
                <w:lang w:bidi="fr-FR"/>
              </w:rPr>
              <w:t>Les données sont-elles disponibles à un coût et un effort raisonnables ? Il faut notamment déterminer s’il existe déjà un mécanisme de collecte de données. Si ce n’est pas le cas, serait-il facile d’en ajouter un aux mécanismes existants ?</w:t>
            </w:r>
          </w:p>
          <w:p w:rsidR="008A3919" w:rsidRDefault="008A3919" w:rsidP="00084AFC">
            <w:pPr>
              <w:pStyle w:val="TableParagraph"/>
              <w:numPr>
                <w:ilvl w:val="0"/>
                <w:numId w:val="4"/>
              </w:numPr>
              <w:tabs>
                <w:tab w:val="left" w:pos="528"/>
                <w:tab w:val="left" w:pos="529"/>
              </w:tabs>
              <w:spacing w:before="85" w:line="278" w:lineRule="auto"/>
              <w:rPr>
                <w:sz w:val="18"/>
              </w:rPr>
            </w:pPr>
            <w:r>
              <w:rPr>
                <w:color w:val="57585B"/>
                <w:sz w:val="18"/>
                <w:lang w:bidi="fr-FR"/>
              </w:rPr>
              <w:t>Les efforts de collecte et d’analyse des données concordent-ils avec le moment où les données sont nécessaires pour les cycles d’établissement des rapports et de planification ?</w:t>
            </w:r>
          </w:p>
        </w:tc>
        <w:tc>
          <w:tcPr>
            <w:tcW w:w="1531" w:type="dxa"/>
          </w:tcPr>
          <w:p w:rsidR="008A3919" w:rsidRDefault="008A3919" w:rsidP="008A3919">
            <w:pPr>
              <w:pStyle w:val="TableParagraph"/>
              <w:spacing w:before="142"/>
              <w:ind w:left="113" w:right="113"/>
              <w:rPr>
                <w:sz w:val="18"/>
              </w:rPr>
            </w:pPr>
            <w:r>
              <w:rPr>
                <w:noProof/>
                <w:lang w:bidi="fr-FR"/>
              </w:rPr>
              <w:drawing>
                <wp:inline distT="0" distB="0" distL="0" distR="0" wp14:anchorId="78EFFA6E" wp14:editId="296757FB">
                  <wp:extent cx="91160" cy="91160"/>
                  <wp:effectExtent l="0" t="0" r="0" b="0"/>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8A3919" w:rsidRDefault="008A3919" w:rsidP="008A3919">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7CA70222" wp14:editId="2E09DD45">
                  <wp:extent cx="91160" cy="91160"/>
                  <wp:effectExtent l="0" t="0" r="0" b="0"/>
                  <wp:docPr id="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8A3919" w:rsidRDefault="008A3919" w:rsidP="008A3919">
            <w:pPr>
              <w:pStyle w:val="TableParagraph"/>
              <w:spacing w:before="118"/>
              <w:ind w:left="113" w:right="113"/>
              <w:rPr>
                <w:sz w:val="18"/>
              </w:rPr>
            </w:pPr>
            <w:r>
              <w:rPr>
                <w:noProof/>
                <w:color w:val="57585B"/>
                <w:sz w:val="18"/>
                <w:lang w:bidi="fr-FR"/>
              </w:rPr>
              <w:drawing>
                <wp:inline distT="0" distB="0" distL="0" distR="0" wp14:anchorId="4B7A70EA" wp14:editId="334A9A79">
                  <wp:extent cx="91160" cy="91160"/>
                  <wp:effectExtent l="0" t="0" r="0" b="0"/>
                  <wp:docPr id="4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right w:val="nil"/>
            </w:tcBorders>
          </w:tcPr>
          <w:p w:rsidR="008A3919" w:rsidRDefault="008A3919" w:rsidP="00084AFC">
            <w:pPr>
              <w:pStyle w:val="TableParagraph"/>
              <w:spacing w:before="127" w:line="278" w:lineRule="auto"/>
              <w:ind w:right="178"/>
              <w:rPr>
                <w:b/>
                <w:sz w:val="18"/>
              </w:rPr>
            </w:pPr>
            <w:r>
              <w:rPr>
                <w:color w:val="57585B"/>
                <w:sz w:val="18"/>
                <w:lang w:bidi="fr-FR"/>
              </w:rPr>
              <w:t xml:space="preserve">Les indicateurs n’incluent parfois pas la composante de « temps » ou ne sont pas atteignables car ils oublient de </w:t>
            </w:r>
            <w:r>
              <w:rPr>
                <w:b/>
                <w:color w:val="913592"/>
                <w:sz w:val="18"/>
                <w:lang w:bidi="fr-FR"/>
              </w:rPr>
              <w:t>tenir compte de facteurs tels que les ressources, le temps ou les capacités humaines nécessaires, et/ou des considérations comme la manière d’inclure les populations les plus marginalisées.</w:t>
            </w:r>
          </w:p>
          <w:p w:rsidR="008A3919" w:rsidRDefault="008A3919" w:rsidP="00084AFC">
            <w:pPr>
              <w:pStyle w:val="TableParagraph"/>
              <w:spacing w:before="85" w:line="278" w:lineRule="auto"/>
              <w:ind w:right="178"/>
              <w:rPr>
                <w:sz w:val="18"/>
              </w:rPr>
            </w:pPr>
            <w:r>
              <w:rPr>
                <w:b/>
                <w:color w:val="57585B"/>
                <w:sz w:val="18"/>
                <w:lang w:bidi="fr-FR"/>
              </w:rPr>
              <w:t xml:space="preserve">Les indicateurs à intégrer dans le SIGE doivent être étudiés soigneusement. </w:t>
            </w:r>
            <w:r>
              <w:rPr>
                <w:color w:val="57585B"/>
                <w:sz w:val="18"/>
                <w:lang w:bidi="fr-FR"/>
              </w:rPr>
              <w:t xml:space="preserve">Parfois, essayer d’ajouter trop d’indicateurs sans </w:t>
            </w:r>
            <w:r>
              <w:rPr>
                <w:b/>
                <w:color w:val="57585B"/>
                <w:sz w:val="18"/>
                <w:lang w:bidi="fr-FR"/>
              </w:rPr>
              <w:t xml:space="preserve">s’assurer qu’ils sont intégrés de manière significative dans le protocole utilisé conjointement au SIGE aboutit </w:t>
            </w:r>
            <w:r>
              <w:rPr>
                <w:color w:val="57585B"/>
                <w:sz w:val="18"/>
                <w:lang w:bidi="fr-FR"/>
              </w:rPr>
              <w:t>à des données de faible qualité, limitées ou inexistantes sur les indicateurs à mesurer.</w:t>
            </w:r>
          </w:p>
          <w:p w:rsidR="008A3919" w:rsidRDefault="008A3919" w:rsidP="00084AFC">
            <w:pPr>
              <w:pStyle w:val="TableParagraph"/>
              <w:spacing w:before="11"/>
              <w:ind w:left="0" w:right="178"/>
              <w:rPr>
                <w:b/>
                <w:sz w:val="19"/>
              </w:rPr>
            </w:pPr>
          </w:p>
          <w:p w:rsidR="008A3919" w:rsidRDefault="008A3919" w:rsidP="00084AFC">
            <w:pPr>
              <w:pStyle w:val="TableParagraph"/>
              <w:ind w:right="178"/>
              <w:rPr>
                <w:sz w:val="18"/>
              </w:rPr>
            </w:pPr>
            <w:r>
              <w:rPr>
                <w:noProof/>
                <w:position w:val="-3"/>
                <w:lang w:bidi="fr-FR"/>
              </w:rPr>
              <w:drawing>
                <wp:inline distT="0" distB="0" distL="0" distR="0" wp14:anchorId="5014E926" wp14:editId="4D4144CD">
                  <wp:extent cx="527977" cy="138279"/>
                  <wp:effectExtent l="0" t="0" r="0" b="1905"/>
                  <wp:docPr id="3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6.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5"/>
                <w:sz w:val="20"/>
                <w:lang w:bidi="fr-FR"/>
              </w:rPr>
              <w:t xml:space="preserve"> </w:t>
            </w:r>
            <w:r>
              <w:rPr>
                <w:color w:val="57585B"/>
                <w:spacing w:val="-3"/>
                <w:sz w:val="18"/>
                <w:lang w:bidi="fr-FR"/>
              </w:rPr>
              <w:t>Les données sur la présence des enseignants sont très intéressantes mais rarement disponibles.</w:t>
            </w:r>
          </w:p>
          <w:p w:rsidR="008A3919" w:rsidRDefault="008A3919" w:rsidP="00084AFC">
            <w:pPr>
              <w:pStyle w:val="TableParagraph"/>
              <w:spacing w:before="31"/>
              <w:ind w:right="178"/>
              <w:rPr>
                <w:b/>
                <w:sz w:val="18"/>
              </w:rPr>
            </w:pPr>
            <w:r>
              <w:rPr>
                <w:b/>
                <w:color w:val="913592"/>
                <w:sz w:val="18"/>
                <w:lang w:bidi="fr-FR"/>
              </w:rPr>
              <w:t>Il se peut que les indicateurs soient collectés, mais pas analysés ni inclus dans des rapports à temps pour être utilisés dans la planification.</w:t>
            </w:r>
          </w:p>
        </w:tc>
      </w:tr>
      <w:tr w:rsidR="008A3919">
        <w:trPr>
          <w:trHeight w:val="1708"/>
        </w:trPr>
        <w:tc>
          <w:tcPr>
            <w:tcW w:w="2115" w:type="dxa"/>
            <w:tcBorders>
              <w:left w:val="nil"/>
            </w:tcBorders>
            <w:shd w:val="clear" w:color="auto" w:fill="F1F2F2"/>
          </w:tcPr>
          <w:p w:rsidR="008A3919" w:rsidRDefault="008A3919" w:rsidP="008A3919">
            <w:pPr>
              <w:pStyle w:val="TableParagraph"/>
              <w:spacing w:before="155" w:line="254" w:lineRule="auto"/>
              <w:ind w:left="201" w:right="398"/>
              <w:rPr>
                <w:sz w:val="18"/>
              </w:rPr>
            </w:pPr>
            <w:r>
              <w:rPr>
                <w:b/>
                <w:color w:val="913592"/>
                <w:sz w:val="18"/>
                <w:lang w:bidi="fr-FR"/>
              </w:rPr>
              <w:t xml:space="preserve">Indicateurs d’impact </w:t>
            </w:r>
            <w:r w:rsidR="003842C1">
              <w:rPr>
                <w:b/>
                <w:color w:val="913592"/>
                <w:sz w:val="18"/>
                <w:lang w:bidi="fr-FR"/>
              </w:rPr>
              <w:br/>
            </w:r>
            <w:r>
              <w:rPr>
                <w:color w:val="58595B"/>
                <w:sz w:val="18"/>
                <w:lang w:bidi="fr-FR"/>
              </w:rPr>
              <w:t>(c.-à-d. indicateurs pour les priorités)</w:t>
            </w:r>
          </w:p>
        </w:tc>
        <w:tc>
          <w:tcPr>
            <w:tcW w:w="5613" w:type="dxa"/>
          </w:tcPr>
          <w:p w:rsidR="008A3919" w:rsidRDefault="008A3919" w:rsidP="00084AFC">
            <w:pPr>
              <w:pStyle w:val="TableParagraph"/>
              <w:spacing w:before="127" w:line="278" w:lineRule="auto"/>
              <w:ind w:left="168"/>
              <w:rPr>
                <w:b/>
                <w:sz w:val="18"/>
              </w:rPr>
            </w:pPr>
            <w:r>
              <w:rPr>
                <w:b/>
                <w:color w:val="913592"/>
                <w:sz w:val="18"/>
                <w:lang w:bidi="fr-FR"/>
              </w:rPr>
              <w:t>Les indicateurs permettent-ils de mesurer des résultats à long terme et regroupés ? Les indicateurs mesurent-ils des changements dans la population ciblée (suffisamment ventilés) ?</w:t>
            </w:r>
          </w:p>
        </w:tc>
        <w:tc>
          <w:tcPr>
            <w:tcW w:w="1531" w:type="dxa"/>
          </w:tcPr>
          <w:p w:rsidR="008A3919" w:rsidRDefault="008A3919" w:rsidP="008A3919">
            <w:pPr>
              <w:pStyle w:val="TableParagraph"/>
              <w:spacing w:before="142"/>
              <w:ind w:left="113" w:right="113"/>
              <w:rPr>
                <w:sz w:val="18"/>
              </w:rPr>
            </w:pPr>
            <w:r>
              <w:rPr>
                <w:noProof/>
                <w:lang w:bidi="fr-FR"/>
              </w:rPr>
              <w:drawing>
                <wp:inline distT="0" distB="0" distL="0" distR="0" wp14:anchorId="47A1C626" wp14:editId="243B86E8">
                  <wp:extent cx="91160" cy="91160"/>
                  <wp:effectExtent l="0" t="0" r="0" b="0"/>
                  <wp:docPr id="4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8A3919" w:rsidRDefault="008A3919" w:rsidP="008A3919">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1AB349BA" wp14:editId="6B201712">
                  <wp:extent cx="91160" cy="91160"/>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8A3919" w:rsidRDefault="008A3919" w:rsidP="008A3919">
            <w:pPr>
              <w:pStyle w:val="TableParagraph"/>
              <w:spacing w:before="118"/>
              <w:ind w:left="113" w:right="113"/>
              <w:rPr>
                <w:sz w:val="18"/>
              </w:rPr>
            </w:pPr>
            <w:r>
              <w:rPr>
                <w:noProof/>
                <w:color w:val="57585B"/>
                <w:sz w:val="18"/>
                <w:lang w:bidi="fr-FR"/>
              </w:rPr>
              <w:drawing>
                <wp:inline distT="0" distB="0" distL="0" distR="0" wp14:anchorId="4921F7B6" wp14:editId="3728E9CB">
                  <wp:extent cx="91160" cy="91160"/>
                  <wp:effectExtent l="0" t="0" r="0" b="0"/>
                  <wp:docPr id="4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vMerge w:val="restart"/>
            <w:tcBorders>
              <w:right w:val="nil"/>
            </w:tcBorders>
          </w:tcPr>
          <w:p w:rsidR="008A3919" w:rsidRDefault="008A3919" w:rsidP="00084AFC">
            <w:pPr>
              <w:pStyle w:val="TableParagraph"/>
              <w:spacing w:before="127" w:line="278" w:lineRule="auto"/>
              <w:ind w:right="178"/>
              <w:rPr>
                <w:sz w:val="18"/>
              </w:rPr>
            </w:pPr>
            <w:r>
              <w:rPr>
                <w:color w:val="57585B"/>
                <w:sz w:val="18"/>
                <w:lang w:bidi="fr-FR"/>
              </w:rPr>
              <w:t xml:space="preserve">Les considérations ci-dessous, tirées du </w:t>
            </w:r>
            <w:hyperlink r:id="rId16">
              <w:r>
                <w:rPr>
                  <w:color w:val="57585B"/>
                  <w:sz w:val="18"/>
                  <w:u w:val="single" w:color="57585B"/>
                  <w:lang w:bidi="fr-FR"/>
                </w:rPr>
                <w:t>module 5 du MOOC (page 16, section 3.3.2)</w:t>
              </w:r>
              <w:r>
                <w:rPr>
                  <w:lang w:bidi="fr-FR"/>
                </w:rPr>
                <w:t>,</w:t>
              </w:r>
              <w:r>
                <w:rPr>
                  <w:color w:val="57585B"/>
                  <w:sz w:val="18"/>
                  <w:lang w:bidi="fr-FR"/>
                </w:rPr>
                <w:t xml:space="preserve"> </w:t>
              </w:r>
            </w:hyperlink>
            <w:r>
              <w:rPr>
                <w:color w:val="57585B"/>
                <w:sz w:val="18"/>
                <w:lang w:bidi="fr-FR"/>
              </w:rPr>
              <w:t>ont été énoncées pour identifier les indicateurs clés de performance (KPI) de l’EPE. Cependant, les KPI sont souvent (mais pas exclusivement) définis à partir des indicateurs d’impact et de résultats. Ces considérations sont donc pertinentes pour aider à définir de manière adéquate les indicateurs d’impact et de résultats :</w:t>
            </w:r>
          </w:p>
          <w:p w:rsidR="008A3919" w:rsidRDefault="008A3919" w:rsidP="00084AFC">
            <w:pPr>
              <w:pStyle w:val="TableParagraph"/>
              <w:numPr>
                <w:ilvl w:val="0"/>
                <w:numId w:val="3"/>
              </w:numPr>
              <w:tabs>
                <w:tab w:val="left" w:pos="527"/>
                <w:tab w:val="left" w:pos="528"/>
              </w:tabs>
              <w:spacing w:before="85"/>
              <w:ind w:right="178"/>
              <w:rPr>
                <w:sz w:val="18"/>
              </w:rPr>
            </w:pPr>
            <w:r>
              <w:rPr>
                <w:color w:val="57585B"/>
                <w:sz w:val="18"/>
                <w:lang w:bidi="fr-FR"/>
              </w:rPr>
              <w:t>Ils doivent se borner à mesurer les résultats obtenus par rapport aux objectifs généraux.</w:t>
            </w:r>
          </w:p>
          <w:p w:rsidR="008A3919" w:rsidRDefault="008A3919" w:rsidP="00084AFC">
            <w:pPr>
              <w:pStyle w:val="TableParagraph"/>
              <w:numPr>
                <w:ilvl w:val="0"/>
                <w:numId w:val="3"/>
              </w:numPr>
              <w:tabs>
                <w:tab w:val="left" w:pos="527"/>
                <w:tab w:val="left" w:pos="528"/>
              </w:tabs>
              <w:spacing w:before="118" w:line="278" w:lineRule="auto"/>
              <w:ind w:right="178"/>
              <w:rPr>
                <w:sz w:val="18"/>
              </w:rPr>
            </w:pPr>
            <w:r>
              <w:rPr>
                <w:color w:val="57585B"/>
                <w:sz w:val="18"/>
                <w:lang w:bidi="fr-FR"/>
              </w:rPr>
              <w:t>Donner une image complète du système éducatif dans son ensemble (y compris l’enseignement préprimaire), tout en restant attentif aux problèmes cruciaux relevés dans les programmes prioritaires.</w:t>
            </w:r>
          </w:p>
          <w:p w:rsidR="008A3919" w:rsidRDefault="008A3919" w:rsidP="00084AFC">
            <w:pPr>
              <w:pStyle w:val="TableParagraph"/>
              <w:numPr>
                <w:ilvl w:val="0"/>
                <w:numId w:val="3"/>
              </w:numPr>
              <w:tabs>
                <w:tab w:val="left" w:pos="527"/>
                <w:tab w:val="left" w:pos="528"/>
              </w:tabs>
              <w:spacing w:before="85"/>
              <w:ind w:right="178"/>
              <w:rPr>
                <w:sz w:val="18"/>
              </w:rPr>
            </w:pPr>
            <w:r>
              <w:rPr>
                <w:color w:val="57585B"/>
                <w:sz w:val="18"/>
                <w:lang w:bidi="fr-FR"/>
              </w:rPr>
              <w:t>Être facilement compréhensible par les décideurs et les utilisateurs ordinaires.</w:t>
            </w:r>
          </w:p>
          <w:p w:rsidR="008A3919" w:rsidRDefault="008A3919" w:rsidP="00084AFC">
            <w:pPr>
              <w:pStyle w:val="TableParagraph"/>
              <w:numPr>
                <w:ilvl w:val="0"/>
                <w:numId w:val="3"/>
              </w:numPr>
              <w:tabs>
                <w:tab w:val="left" w:pos="527"/>
                <w:tab w:val="left" w:pos="528"/>
              </w:tabs>
              <w:spacing w:before="118" w:line="278" w:lineRule="auto"/>
              <w:ind w:right="178"/>
              <w:rPr>
                <w:sz w:val="18"/>
              </w:rPr>
            </w:pPr>
            <w:r>
              <w:rPr>
                <w:color w:val="57585B"/>
                <w:sz w:val="18"/>
                <w:lang w:bidi="fr-FR"/>
              </w:rPr>
              <w:t>Faire l’objet d’un consensus entre les différentes parties prenantes et partenaires du développement, afin de faciliter la coordination et la coopération par la suite.</w:t>
            </w:r>
          </w:p>
          <w:p w:rsidR="008A3919" w:rsidRDefault="008A3919" w:rsidP="00084AFC">
            <w:pPr>
              <w:pStyle w:val="TableParagraph"/>
              <w:numPr>
                <w:ilvl w:val="0"/>
                <w:numId w:val="3"/>
              </w:numPr>
              <w:tabs>
                <w:tab w:val="left" w:pos="527"/>
                <w:tab w:val="left" w:pos="528"/>
              </w:tabs>
              <w:spacing w:before="84"/>
              <w:ind w:right="178"/>
              <w:rPr>
                <w:sz w:val="18"/>
              </w:rPr>
            </w:pPr>
            <w:r>
              <w:rPr>
                <w:color w:val="57585B"/>
                <w:sz w:val="18"/>
                <w:lang w:bidi="fr-FR"/>
              </w:rPr>
              <w:t>Être reliés à des cadres d’indicateurs internationaux, comme l’ODD 4.2 dans le cas de l’enseignement préprimaire.</w:t>
            </w:r>
          </w:p>
        </w:tc>
      </w:tr>
      <w:tr w:rsidR="008A3919" w:rsidTr="00084AFC">
        <w:trPr>
          <w:trHeight w:val="2402"/>
        </w:trPr>
        <w:tc>
          <w:tcPr>
            <w:tcW w:w="2115" w:type="dxa"/>
            <w:tcBorders>
              <w:left w:val="nil"/>
            </w:tcBorders>
            <w:shd w:val="clear" w:color="auto" w:fill="F1F2F2"/>
          </w:tcPr>
          <w:p w:rsidR="008A3919" w:rsidRDefault="008A3919" w:rsidP="008A3919">
            <w:pPr>
              <w:pStyle w:val="TableParagraph"/>
              <w:spacing w:before="155" w:line="254" w:lineRule="auto"/>
              <w:ind w:left="201" w:right="198"/>
              <w:rPr>
                <w:sz w:val="18"/>
              </w:rPr>
            </w:pPr>
            <w:r>
              <w:rPr>
                <w:b/>
                <w:color w:val="913592"/>
                <w:sz w:val="18"/>
                <w:lang w:bidi="fr-FR"/>
              </w:rPr>
              <w:t xml:space="preserve">Indicateurs </w:t>
            </w:r>
            <w:r w:rsidR="002D1B64">
              <w:rPr>
                <w:b/>
                <w:color w:val="913592"/>
                <w:sz w:val="18"/>
                <w:lang w:bidi="fr-FR"/>
              </w:rPr>
              <w:br/>
            </w:r>
            <w:r>
              <w:rPr>
                <w:b/>
                <w:color w:val="913592"/>
                <w:sz w:val="18"/>
                <w:lang w:bidi="fr-FR"/>
              </w:rPr>
              <w:t xml:space="preserve">de résultats </w:t>
            </w:r>
            <w:r w:rsidR="003842C1">
              <w:rPr>
                <w:b/>
                <w:color w:val="913592"/>
                <w:sz w:val="18"/>
                <w:lang w:bidi="fr-FR"/>
              </w:rPr>
              <w:br/>
            </w:r>
            <w:r>
              <w:rPr>
                <w:color w:val="58595B"/>
                <w:sz w:val="18"/>
                <w:lang w:bidi="fr-FR"/>
              </w:rPr>
              <w:t>(c.-à-d. indicateurs pour les stratégies)</w:t>
            </w:r>
          </w:p>
        </w:tc>
        <w:tc>
          <w:tcPr>
            <w:tcW w:w="5613" w:type="dxa"/>
          </w:tcPr>
          <w:p w:rsidR="008A3919" w:rsidRDefault="008A3919" w:rsidP="00084AFC">
            <w:pPr>
              <w:pStyle w:val="TableParagraph"/>
              <w:spacing w:before="127" w:line="278" w:lineRule="auto"/>
              <w:ind w:left="168"/>
              <w:rPr>
                <w:b/>
                <w:sz w:val="18"/>
              </w:rPr>
            </w:pPr>
            <w:r>
              <w:rPr>
                <w:b/>
                <w:color w:val="913592"/>
                <w:sz w:val="18"/>
                <w:lang w:bidi="fr-FR"/>
              </w:rPr>
              <w:t>Les indicateurs mesurent-ils des changements intermédiaires au niveau des bénéficiaires directs (par exemple au niveau de l’enfant ou des prestataires de service de l’enseignement préprimaire) ?</w:t>
            </w:r>
          </w:p>
        </w:tc>
        <w:tc>
          <w:tcPr>
            <w:tcW w:w="1531" w:type="dxa"/>
          </w:tcPr>
          <w:p w:rsidR="008A3919" w:rsidRDefault="008A3919" w:rsidP="008A3919">
            <w:pPr>
              <w:pStyle w:val="TableParagraph"/>
              <w:spacing w:before="142"/>
              <w:ind w:left="113" w:right="113"/>
              <w:rPr>
                <w:sz w:val="18"/>
              </w:rPr>
            </w:pPr>
            <w:r>
              <w:rPr>
                <w:noProof/>
                <w:lang w:bidi="fr-FR"/>
              </w:rPr>
              <w:drawing>
                <wp:inline distT="0" distB="0" distL="0" distR="0" wp14:anchorId="379DE112" wp14:editId="3ED03E97">
                  <wp:extent cx="91160" cy="91160"/>
                  <wp:effectExtent l="0" t="0" r="0" b="0"/>
                  <wp:docPr id="4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8A3919" w:rsidRDefault="008A3919" w:rsidP="008A3919">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55FDF288" wp14:editId="0A4E36C8">
                  <wp:extent cx="91160" cy="91160"/>
                  <wp:effectExtent l="0" t="0" r="0" b="0"/>
                  <wp:docPr id="5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8A3919" w:rsidRDefault="008A3919" w:rsidP="008A3919">
            <w:pPr>
              <w:pStyle w:val="TableParagraph"/>
              <w:spacing w:before="118"/>
              <w:ind w:left="113" w:right="113"/>
              <w:rPr>
                <w:sz w:val="18"/>
              </w:rPr>
            </w:pPr>
            <w:r>
              <w:rPr>
                <w:noProof/>
                <w:color w:val="57585B"/>
                <w:sz w:val="18"/>
                <w:lang w:bidi="fr-FR"/>
              </w:rPr>
              <w:drawing>
                <wp:inline distT="0" distB="0" distL="0" distR="0" wp14:anchorId="7598554B" wp14:editId="700D18C0">
                  <wp:extent cx="91160" cy="91160"/>
                  <wp:effectExtent l="0" t="0" r="0" b="0"/>
                  <wp:docPr id="5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vMerge/>
            <w:tcBorders>
              <w:top w:val="nil"/>
              <w:right w:val="nil"/>
            </w:tcBorders>
          </w:tcPr>
          <w:p w:rsidR="008A3919" w:rsidRDefault="008A3919" w:rsidP="008A3919">
            <w:pPr>
              <w:rPr>
                <w:sz w:val="2"/>
                <w:szCs w:val="2"/>
              </w:rPr>
            </w:pPr>
          </w:p>
        </w:tc>
      </w:tr>
    </w:tbl>
    <w:p w:rsidR="00732903" w:rsidRDefault="00732903" w:rsidP="00732903">
      <w:pPr>
        <w:rPr>
          <w:sz w:val="18"/>
        </w:rPr>
        <w:sectPr w:rsidR="00732903">
          <w:pgSz w:w="20160" w:h="12240" w:orient="landscape"/>
          <w:pgMar w:top="880" w:right="1020" w:bottom="280" w:left="1000" w:header="571" w:footer="0" w:gutter="0"/>
          <w:cols w:space="720"/>
        </w:sectPr>
      </w:pPr>
    </w:p>
    <w:p w:rsidR="00C3075C" w:rsidRDefault="00C3075C">
      <w:pPr>
        <w:pStyle w:val="Textoindependiente"/>
        <w:spacing w:before="3" w:after="1"/>
        <w:rPr>
          <w:rFonts w:ascii="Times New Roman"/>
        </w:rPr>
      </w:pPr>
    </w:p>
    <w:p w:rsidR="00B86E3E" w:rsidRDefault="00B86E3E">
      <w:pPr>
        <w:pStyle w:val="Textoindependiente"/>
        <w:spacing w:before="3" w:after="1"/>
        <w:rPr>
          <w:rFonts w:ascii="Times New Roman"/>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5613"/>
        <w:gridCol w:w="1531"/>
        <w:gridCol w:w="8635"/>
      </w:tblGrid>
      <w:tr w:rsidR="006D4EF4" w:rsidTr="00574C84">
        <w:trPr>
          <w:trHeight w:val="675"/>
        </w:trPr>
        <w:tc>
          <w:tcPr>
            <w:tcW w:w="2115" w:type="dxa"/>
            <w:tcBorders>
              <w:left w:val="nil"/>
              <w:right w:val="single" w:sz="4" w:space="0" w:color="ABABAD"/>
            </w:tcBorders>
            <w:vAlign w:val="center"/>
          </w:tcPr>
          <w:p w:rsidR="006D4EF4" w:rsidRDefault="006D4EF4" w:rsidP="006D4EF4">
            <w:pPr>
              <w:pStyle w:val="TableParagraph"/>
              <w:ind w:left="0"/>
              <w:jc w:val="center"/>
              <w:rPr>
                <w:b/>
                <w:sz w:val="10"/>
              </w:rPr>
            </w:pPr>
            <w:bookmarkStart w:id="1" w:name="_bookmark1"/>
            <w:bookmarkEnd w:id="1"/>
            <w:r>
              <w:rPr>
                <w:b/>
                <w:color w:val="57585B"/>
                <w:sz w:val="18"/>
                <w:lang w:bidi="fr-FR"/>
              </w:rPr>
              <w:t xml:space="preserve">Type hiérarchique </w:t>
            </w:r>
            <w:r>
              <w:rPr>
                <w:b/>
                <w:color w:val="57585B"/>
                <w:sz w:val="18"/>
                <w:lang w:bidi="fr-FR"/>
              </w:rPr>
              <w:br/>
              <w:t>des indicateurs</w:t>
            </w:r>
            <w:r>
              <w:rPr>
                <w:b/>
                <w:color w:val="57585B"/>
                <w:position w:val="6"/>
                <w:sz w:val="10"/>
                <w:lang w:bidi="fr-FR"/>
              </w:rPr>
              <w:t>2</w:t>
            </w:r>
          </w:p>
        </w:tc>
        <w:tc>
          <w:tcPr>
            <w:tcW w:w="5613" w:type="dxa"/>
            <w:tcBorders>
              <w:left w:val="single" w:sz="4" w:space="0" w:color="ABABAD"/>
            </w:tcBorders>
            <w:vAlign w:val="center"/>
          </w:tcPr>
          <w:p w:rsidR="006D4EF4" w:rsidRDefault="006D4EF4" w:rsidP="006D4EF4">
            <w:pPr>
              <w:pStyle w:val="TableParagraph"/>
              <w:ind w:left="0"/>
              <w:jc w:val="center"/>
              <w:rPr>
                <w:sz w:val="18"/>
              </w:rPr>
            </w:pPr>
            <w:r>
              <w:rPr>
                <w:b/>
                <w:color w:val="57585B"/>
                <w:sz w:val="18"/>
                <w:lang w:bidi="fr-FR"/>
              </w:rPr>
              <w:t xml:space="preserve">Critères de définition des indicateurs </w:t>
            </w:r>
            <w:r>
              <w:rPr>
                <w:color w:val="57585B"/>
                <w:sz w:val="18"/>
                <w:lang w:bidi="fr-FR"/>
              </w:rPr>
              <w:t xml:space="preserve">(adaptés du </w:t>
            </w:r>
            <w:hyperlink r:id="rId17">
              <w:r>
                <w:rPr>
                  <w:color w:val="57585B"/>
                  <w:sz w:val="18"/>
                  <w:u w:val="single" w:color="57585B"/>
                  <w:lang w:bidi="fr-FR"/>
                </w:rPr>
                <w:t>module 4 du MOOC, pages 16-17</w:t>
              </w:r>
            </w:hyperlink>
            <w:r>
              <w:rPr>
                <w:color w:val="57585B"/>
                <w:sz w:val="18"/>
                <w:lang w:bidi="fr-FR"/>
              </w:rPr>
              <w:t xml:space="preserve"> et du </w:t>
            </w:r>
            <w:hyperlink r:id="rId18">
              <w:r>
                <w:rPr>
                  <w:color w:val="57585B"/>
                  <w:sz w:val="18"/>
                  <w:u w:val="single" w:color="57585B"/>
                  <w:lang w:bidi="fr-FR"/>
                </w:rPr>
                <w:t>module 5, pages 14-16</w:t>
              </w:r>
            </w:hyperlink>
            <w:r>
              <w:rPr>
                <w:color w:val="57585B"/>
                <w:sz w:val="18"/>
                <w:lang w:bidi="fr-FR"/>
              </w:rPr>
              <w:t>)</w:t>
            </w:r>
          </w:p>
        </w:tc>
        <w:tc>
          <w:tcPr>
            <w:tcW w:w="1531" w:type="dxa"/>
            <w:vAlign w:val="center"/>
          </w:tcPr>
          <w:p w:rsidR="006D4EF4" w:rsidRDefault="006D4EF4" w:rsidP="006D4EF4">
            <w:pPr>
              <w:pStyle w:val="TableParagraph"/>
              <w:ind w:left="0"/>
              <w:jc w:val="center"/>
              <w:rPr>
                <w:b/>
                <w:sz w:val="18"/>
              </w:rPr>
            </w:pPr>
            <w:r>
              <w:rPr>
                <w:b/>
                <w:color w:val="57585B"/>
                <w:sz w:val="18"/>
                <w:lang w:bidi="fr-FR"/>
              </w:rPr>
              <w:t>Réponse</w:t>
            </w:r>
          </w:p>
        </w:tc>
        <w:tc>
          <w:tcPr>
            <w:tcW w:w="8635" w:type="dxa"/>
            <w:tcBorders>
              <w:right w:val="nil"/>
            </w:tcBorders>
            <w:vAlign w:val="center"/>
          </w:tcPr>
          <w:p w:rsidR="006D4EF4" w:rsidRDefault="006D4EF4" w:rsidP="006D4EF4">
            <w:pPr>
              <w:pStyle w:val="TableParagraph"/>
              <w:ind w:left="0"/>
              <w:jc w:val="center"/>
              <w:rPr>
                <w:b/>
                <w:sz w:val="18"/>
              </w:rPr>
            </w:pPr>
            <w:r>
              <w:rPr>
                <w:b/>
                <w:color w:val="57585B"/>
                <w:sz w:val="18"/>
                <w:lang w:bidi="fr-FR"/>
              </w:rPr>
              <w:t>Considérations fréquentes pour l’application des critères, avec exemples</w:t>
            </w:r>
          </w:p>
        </w:tc>
      </w:tr>
      <w:tr w:rsidR="00806D94" w:rsidTr="00510B36">
        <w:trPr>
          <w:trHeight w:val="4809"/>
        </w:trPr>
        <w:tc>
          <w:tcPr>
            <w:tcW w:w="2115" w:type="dxa"/>
            <w:tcBorders>
              <w:left w:val="nil"/>
            </w:tcBorders>
            <w:shd w:val="clear" w:color="auto" w:fill="F1F2F2"/>
          </w:tcPr>
          <w:p w:rsidR="00806D94" w:rsidRDefault="00806D94" w:rsidP="000E20ED">
            <w:pPr>
              <w:pStyle w:val="TableParagraph"/>
              <w:spacing w:before="155" w:line="254" w:lineRule="auto"/>
              <w:ind w:left="113" w:right="113"/>
              <w:rPr>
                <w:sz w:val="18"/>
              </w:rPr>
            </w:pPr>
            <w:r>
              <w:rPr>
                <w:b/>
                <w:color w:val="913592"/>
                <w:sz w:val="18"/>
                <w:lang w:bidi="fr-FR"/>
              </w:rPr>
              <w:t xml:space="preserve">Indicateurs </w:t>
            </w:r>
            <w:r w:rsidR="00EB2EB6">
              <w:rPr>
                <w:b/>
                <w:color w:val="913592"/>
                <w:sz w:val="18"/>
                <w:lang w:bidi="fr-FR"/>
              </w:rPr>
              <w:br/>
            </w:r>
            <w:r>
              <w:rPr>
                <w:b/>
                <w:color w:val="913592"/>
                <w:sz w:val="18"/>
                <w:lang w:bidi="fr-FR"/>
              </w:rPr>
              <w:t xml:space="preserve">de produit </w:t>
            </w:r>
            <w:r w:rsidR="000E20ED">
              <w:rPr>
                <w:b/>
                <w:color w:val="913592"/>
                <w:sz w:val="18"/>
                <w:lang w:bidi="fr-FR"/>
              </w:rPr>
              <w:br/>
            </w:r>
            <w:r>
              <w:rPr>
                <w:color w:val="58595B"/>
                <w:sz w:val="18"/>
                <w:lang w:bidi="fr-FR"/>
              </w:rPr>
              <w:t>(indicateurs montrant les résultats des activités)</w:t>
            </w:r>
          </w:p>
        </w:tc>
        <w:tc>
          <w:tcPr>
            <w:tcW w:w="5613" w:type="dxa"/>
          </w:tcPr>
          <w:p w:rsidR="00806D94" w:rsidRDefault="00806D94" w:rsidP="004F1EDA">
            <w:pPr>
              <w:pStyle w:val="TableParagraph"/>
              <w:spacing w:before="127" w:line="278" w:lineRule="auto"/>
              <w:ind w:left="168" w:right="200"/>
              <w:rPr>
                <w:b/>
                <w:sz w:val="18"/>
              </w:rPr>
            </w:pPr>
            <w:r>
              <w:rPr>
                <w:b/>
                <w:color w:val="913592"/>
                <w:sz w:val="18"/>
                <w:lang w:bidi="fr-FR"/>
              </w:rPr>
              <w:t>Les indicateurs permettent-ils de mesurer la conséquence immédiate et concrète des mesures prises et des ressources utilisées ?</w:t>
            </w:r>
          </w:p>
        </w:tc>
        <w:tc>
          <w:tcPr>
            <w:tcW w:w="1531" w:type="dxa"/>
          </w:tcPr>
          <w:p w:rsidR="00806D94" w:rsidRDefault="00806D94" w:rsidP="00806D94">
            <w:pPr>
              <w:pStyle w:val="TableParagraph"/>
              <w:spacing w:before="142"/>
              <w:ind w:left="113" w:right="113"/>
              <w:rPr>
                <w:sz w:val="18"/>
              </w:rPr>
            </w:pPr>
            <w:r>
              <w:rPr>
                <w:noProof/>
                <w:lang w:bidi="fr-FR"/>
              </w:rPr>
              <w:drawing>
                <wp:inline distT="0" distB="0" distL="0" distR="0" wp14:anchorId="01B38209" wp14:editId="5E903775">
                  <wp:extent cx="91160" cy="91160"/>
                  <wp:effectExtent l="0" t="0" r="0" b="0"/>
                  <wp:docPr id="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806D94" w:rsidRDefault="00806D94" w:rsidP="00806D94">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5DAC7971" wp14:editId="3CBBD126">
                  <wp:extent cx="91160" cy="91160"/>
                  <wp:effectExtent l="0" t="0" r="0" b="0"/>
                  <wp:docPr id="5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806D94" w:rsidRDefault="00806D94" w:rsidP="00806D94">
            <w:pPr>
              <w:pStyle w:val="TableParagraph"/>
              <w:spacing w:before="118"/>
              <w:ind w:left="113" w:right="113"/>
              <w:rPr>
                <w:sz w:val="18"/>
              </w:rPr>
            </w:pPr>
            <w:r>
              <w:rPr>
                <w:noProof/>
                <w:color w:val="57585B"/>
                <w:sz w:val="18"/>
                <w:lang w:bidi="fr-FR"/>
              </w:rPr>
              <w:drawing>
                <wp:inline distT="0" distB="0" distL="0" distR="0" wp14:anchorId="0C536444" wp14:editId="763A46C9">
                  <wp:extent cx="91160" cy="91160"/>
                  <wp:effectExtent l="0" t="0" r="0" b="0"/>
                  <wp:docPr id="5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right w:val="nil"/>
            </w:tcBorders>
          </w:tcPr>
          <w:p w:rsidR="00806D94" w:rsidRDefault="00806D94" w:rsidP="00806D94">
            <w:pPr>
              <w:pStyle w:val="TableParagraph"/>
              <w:spacing w:before="127" w:line="278" w:lineRule="auto"/>
              <w:ind w:right="792"/>
              <w:rPr>
                <w:b/>
                <w:sz w:val="18"/>
              </w:rPr>
            </w:pPr>
            <w:r>
              <w:rPr>
                <w:b/>
                <w:color w:val="57585B"/>
                <w:sz w:val="18"/>
                <w:lang w:bidi="fr-FR"/>
              </w:rPr>
              <w:t>En considérant la logique et la cohérence de la théorie du changement, les indicateurs de produit peuvent nécessiter d’être « vérifiés » afin de déterminer s’ils correspondent aux indicateurs de résultats de manière cohérente et compatible.</w:t>
            </w:r>
          </w:p>
          <w:p w:rsidR="00806D94" w:rsidRDefault="00806D94" w:rsidP="00806D94">
            <w:pPr>
              <w:pStyle w:val="TableParagraph"/>
              <w:spacing w:before="11"/>
              <w:ind w:left="0"/>
              <w:rPr>
                <w:rFonts w:ascii="Times New Roman"/>
                <w:sz w:val="19"/>
              </w:rPr>
            </w:pPr>
          </w:p>
          <w:p w:rsidR="00806D94" w:rsidRDefault="00806D94" w:rsidP="00806D94">
            <w:pPr>
              <w:pStyle w:val="TableParagraph"/>
              <w:spacing w:line="273" w:lineRule="auto"/>
              <w:ind w:right="207"/>
              <w:rPr>
                <w:sz w:val="18"/>
              </w:rPr>
            </w:pPr>
            <w:r>
              <w:rPr>
                <w:noProof/>
                <w:position w:val="-3"/>
                <w:lang w:bidi="fr-FR"/>
              </w:rPr>
              <w:drawing>
                <wp:inline distT="0" distB="0" distL="0" distR="0" wp14:anchorId="34BA952A" wp14:editId="74F947BE">
                  <wp:extent cx="527977" cy="138279"/>
                  <wp:effectExtent l="0" t="0" r="0" b="1905"/>
                  <wp:docPr id="5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7.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z w:val="20"/>
                <w:lang w:bidi="fr-FR"/>
              </w:rPr>
              <w:t xml:space="preserve"> </w:t>
            </w:r>
            <w:r>
              <w:rPr>
                <w:color w:val="57585B"/>
                <w:sz w:val="18"/>
                <w:lang w:bidi="fr-FR"/>
              </w:rPr>
              <w:t>Il se peut par exemple que, dans le but de consolider les stratégies, celles-ci intègrent trop de produits et d’activités qui n’ont pas de rapport entre eux.</w:t>
            </w:r>
          </w:p>
          <w:p w:rsidR="00806D94" w:rsidRDefault="00806D94" w:rsidP="00806D94">
            <w:pPr>
              <w:pStyle w:val="TableParagraph"/>
              <w:spacing w:before="90" w:line="278" w:lineRule="auto"/>
              <w:ind w:right="236"/>
              <w:rPr>
                <w:sz w:val="18"/>
              </w:rPr>
            </w:pPr>
            <w:r>
              <w:rPr>
                <w:color w:val="57585B"/>
                <w:sz w:val="18"/>
                <w:lang w:bidi="fr-FR"/>
              </w:rPr>
              <w:t>Une stratégie portant sur « l’amélioration des modalités de formation initiale des enseignants au niveau national » comprend une activité sur l’harmonisation des programmes nationaux d’EPE. L’un des indicateurs d’activité est le « nombre de programmes utilisés par les prestataires de service préscolaires non publics harmonisé avec les programmes publics ».</w:t>
            </w:r>
          </w:p>
          <w:p w:rsidR="00806D94" w:rsidRDefault="00806D94" w:rsidP="00806D94">
            <w:pPr>
              <w:pStyle w:val="TableParagraph"/>
              <w:spacing w:before="84" w:line="278" w:lineRule="auto"/>
              <w:ind w:right="758"/>
              <w:rPr>
                <w:sz w:val="18"/>
              </w:rPr>
            </w:pPr>
            <w:r>
              <w:rPr>
                <w:color w:val="57585B"/>
                <w:sz w:val="18"/>
                <w:lang w:bidi="fr-FR"/>
              </w:rPr>
              <w:t>Même s’il est vrai que l’utilisation des programmes fait partie de la formation des enseignants, cette activité d’harmonisation des programmes et l’indicateur connexe sur les programmes utilisés en cours d’emploi sont peut-être mieux adaptés pour mesurer</w:t>
            </w:r>
          </w:p>
          <w:p w:rsidR="00806D94" w:rsidRDefault="00806D94" w:rsidP="00806D94">
            <w:pPr>
              <w:pStyle w:val="TableParagraph"/>
              <w:rPr>
                <w:sz w:val="18"/>
              </w:rPr>
            </w:pPr>
            <w:r>
              <w:rPr>
                <w:color w:val="57585B"/>
                <w:sz w:val="18"/>
                <w:lang w:bidi="fr-FR"/>
              </w:rPr>
              <w:t>les conséquences concrètes d’une stratégie et de son activité connexe sur l’élaboration et la mise en œuvre des programmes.</w:t>
            </w:r>
          </w:p>
          <w:p w:rsidR="00806D94" w:rsidRDefault="00806D94" w:rsidP="00806D94">
            <w:pPr>
              <w:pStyle w:val="TableParagraph"/>
              <w:spacing w:before="118" w:line="278" w:lineRule="auto"/>
              <w:ind w:right="236"/>
              <w:rPr>
                <w:sz w:val="18"/>
              </w:rPr>
            </w:pPr>
            <w:r>
              <w:rPr>
                <w:color w:val="57585B"/>
                <w:sz w:val="18"/>
                <w:lang w:bidi="fr-FR"/>
              </w:rPr>
              <w:t>Une autre solution pourrait être de réviser la stratégie elle-même pour la rendre plus vaste, par exemple en la changeant en « l’amélioration et l’harmonisation des modalités de formation initiale et continue des enseignants et des programmes au niveau national ».</w:t>
            </w:r>
          </w:p>
        </w:tc>
      </w:tr>
      <w:tr w:rsidR="00806D94" w:rsidTr="00732903">
        <w:trPr>
          <w:trHeight w:val="2188"/>
        </w:trPr>
        <w:tc>
          <w:tcPr>
            <w:tcW w:w="2115" w:type="dxa"/>
            <w:tcBorders>
              <w:left w:val="nil"/>
            </w:tcBorders>
            <w:shd w:val="clear" w:color="auto" w:fill="F1F2F2"/>
          </w:tcPr>
          <w:p w:rsidR="00806D94" w:rsidRDefault="00806D94" w:rsidP="00510B36">
            <w:pPr>
              <w:pStyle w:val="TableParagraph"/>
              <w:spacing w:before="127" w:line="254" w:lineRule="auto"/>
              <w:ind w:left="113" w:right="113"/>
              <w:rPr>
                <w:b/>
                <w:color w:val="913592"/>
                <w:sz w:val="18"/>
                <w:lang w:bidi="fr-FR"/>
              </w:rPr>
            </w:pPr>
            <w:r>
              <w:rPr>
                <w:b/>
                <w:color w:val="913592"/>
                <w:sz w:val="18"/>
                <w:lang w:bidi="fr-FR"/>
              </w:rPr>
              <w:t>Indicateurs d’intrants/activité</w:t>
            </w:r>
          </w:p>
          <w:p w:rsidR="00510B36" w:rsidRDefault="00510B36" w:rsidP="00510B36">
            <w:pPr>
              <w:pStyle w:val="TableParagraph"/>
              <w:spacing w:before="127" w:line="254" w:lineRule="auto"/>
              <w:ind w:left="113" w:right="113"/>
              <w:rPr>
                <w:b/>
                <w:sz w:val="18"/>
              </w:rPr>
            </w:pPr>
          </w:p>
        </w:tc>
        <w:tc>
          <w:tcPr>
            <w:tcW w:w="5613" w:type="dxa"/>
          </w:tcPr>
          <w:p w:rsidR="00806D94" w:rsidRDefault="00806D94" w:rsidP="00806D94">
            <w:pPr>
              <w:pStyle w:val="TableParagraph"/>
              <w:spacing w:before="127" w:line="278" w:lineRule="auto"/>
              <w:ind w:left="168" w:right="249"/>
              <w:rPr>
                <w:b/>
                <w:sz w:val="18"/>
              </w:rPr>
            </w:pPr>
            <w:r>
              <w:rPr>
                <w:b/>
                <w:color w:val="913592"/>
                <w:sz w:val="18"/>
                <w:lang w:bidi="fr-FR"/>
              </w:rPr>
              <w:t>Les indicateurs permettent-ils de mesurer les ressources financières, administratives et réglementaires apportées par le gouvernement ou les donateurs ?</w:t>
            </w:r>
          </w:p>
        </w:tc>
        <w:tc>
          <w:tcPr>
            <w:tcW w:w="1531" w:type="dxa"/>
          </w:tcPr>
          <w:p w:rsidR="00806D94" w:rsidRDefault="00806D94" w:rsidP="00806D94">
            <w:pPr>
              <w:pStyle w:val="TableParagraph"/>
              <w:spacing w:before="142"/>
              <w:ind w:left="113" w:right="113"/>
              <w:rPr>
                <w:sz w:val="18"/>
              </w:rPr>
            </w:pPr>
            <w:r>
              <w:rPr>
                <w:noProof/>
                <w:lang w:bidi="fr-FR"/>
              </w:rPr>
              <w:drawing>
                <wp:inline distT="0" distB="0" distL="0" distR="0" wp14:anchorId="1A423BE9" wp14:editId="7A012518">
                  <wp:extent cx="91160" cy="91160"/>
                  <wp:effectExtent l="0" t="0" r="0" b="0"/>
                  <wp:docPr id="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6"/>
                <w:sz w:val="18"/>
                <w:lang w:bidi="fr-FR"/>
              </w:rPr>
              <w:t>Oui</w:t>
            </w:r>
          </w:p>
          <w:p w:rsidR="00806D94" w:rsidRDefault="00806D94" w:rsidP="00806D94">
            <w:pPr>
              <w:pStyle w:val="TableParagraph"/>
              <w:numPr>
                <w:ilvl w:val="0"/>
                <w:numId w:val="10"/>
              </w:numPr>
              <w:spacing w:before="118"/>
              <w:ind w:left="113" w:right="113"/>
              <w:rPr>
                <w:color w:val="57585B"/>
                <w:spacing w:val="-2"/>
                <w:sz w:val="18"/>
                <w:lang w:bidi="fr-FR"/>
              </w:rPr>
            </w:pPr>
            <w:r>
              <w:rPr>
                <w:noProof/>
                <w:lang w:bidi="fr-FR"/>
              </w:rPr>
              <w:drawing>
                <wp:inline distT="0" distB="0" distL="0" distR="0" wp14:anchorId="18F9068D" wp14:editId="247D1A61">
                  <wp:extent cx="91160" cy="91160"/>
                  <wp:effectExtent l="0" t="0" r="0" b="0"/>
                  <wp:docPr id="6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91160" cy="91160"/>
                          </a:xfrm>
                          <a:prstGeom prst="rect">
                            <a:avLst/>
                          </a:prstGeom>
                        </pic:spPr>
                      </pic:pic>
                    </a:graphicData>
                  </a:graphic>
                </wp:inline>
              </w:drawing>
            </w:r>
            <w:r>
              <w:rPr>
                <w:spacing w:val="5"/>
                <w:sz w:val="20"/>
                <w:lang w:bidi="fr-FR"/>
              </w:rPr>
              <w:t xml:space="preserve"> </w:t>
            </w:r>
            <w:r>
              <w:rPr>
                <w:color w:val="57585B"/>
                <w:spacing w:val="-2"/>
                <w:sz w:val="18"/>
                <w:lang w:bidi="fr-FR"/>
              </w:rPr>
              <w:t>En partie</w:t>
            </w:r>
          </w:p>
          <w:p w:rsidR="00806D94" w:rsidRDefault="00806D94" w:rsidP="00806D94">
            <w:pPr>
              <w:pStyle w:val="TableParagraph"/>
              <w:spacing w:before="118"/>
              <w:ind w:left="113" w:right="113"/>
              <w:rPr>
                <w:sz w:val="18"/>
              </w:rPr>
            </w:pPr>
            <w:r>
              <w:rPr>
                <w:noProof/>
                <w:color w:val="57585B"/>
                <w:sz w:val="18"/>
                <w:lang w:bidi="fr-FR"/>
              </w:rPr>
              <w:drawing>
                <wp:inline distT="0" distB="0" distL="0" distR="0" wp14:anchorId="6E69B5D4" wp14:editId="687187DD">
                  <wp:extent cx="91160" cy="91160"/>
                  <wp:effectExtent l="0" t="0" r="0" b="0"/>
                  <wp:docPr id="6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91160" cy="91160"/>
                          </a:xfrm>
                          <a:prstGeom prst="rect">
                            <a:avLst/>
                          </a:prstGeom>
                        </pic:spPr>
                      </pic:pic>
                    </a:graphicData>
                  </a:graphic>
                </wp:inline>
              </w:drawing>
            </w:r>
            <w:r>
              <w:rPr>
                <w:color w:val="57585B"/>
                <w:sz w:val="18"/>
                <w:lang w:bidi="fr-FR"/>
              </w:rPr>
              <w:t xml:space="preserve"> Non</w:t>
            </w:r>
          </w:p>
        </w:tc>
        <w:tc>
          <w:tcPr>
            <w:tcW w:w="8635" w:type="dxa"/>
            <w:tcBorders>
              <w:right w:val="nil"/>
            </w:tcBorders>
          </w:tcPr>
          <w:p w:rsidR="00806D94" w:rsidRDefault="00806D94" w:rsidP="00806D94">
            <w:pPr>
              <w:pStyle w:val="TableParagraph"/>
              <w:spacing w:before="127"/>
              <w:rPr>
                <w:b/>
                <w:sz w:val="18"/>
              </w:rPr>
            </w:pPr>
            <w:r>
              <w:rPr>
                <w:b/>
                <w:color w:val="57585B"/>
                <w:sz w:val="18"/>
                <w:lang w:bidi="fr-FR"/>
              </w:rPr>
              <w:t>Une « vérification » peut êtres nécessaire afin de s’assurer que les indicateurs ne sont pas fusionnés avec les cibles.</w:t>
            </w:r>
          </w:p>
          <w:p w:rsidR="00806D94" w:rsidRPr="00806D94" w:rsidRDefault="00806D94" w:rsidP="00806D94">
            <w:pPr>
              <w:pStyle w:val="TableParagraph"/>
              <w:spacing w:before="10"/>
              <w:ind w:left="0"/>
              <w:rPr>
                <w:rFonts w:ascii="Times New Roman"/>
                <w:sz w:val="20"/>
                <w:szCs w:val="20"/>
              </w:rPr>
            </w:pPr>
          </w:p>
          <w:p w:rsidR="00806D94" w:rsidRDefault="00806D94" w:rsidP="00806D94">
            <w:pPr>
              <w:pStyle w:val="TableParagraph"/>
              <w:spacing w:line="278" w:lineRule="auto"/>
              <w:rPr>
                <w:sz w:val="18"/>
              </w:rPr>
            </w:pPr>
            <w:r>
              <w:rPr>
                <w:noProof/>
                <w:position w:val="-3"/>
                <w:lang w:bidi="fr-FR"/>
              </w:rPr>
              <w:drawing>
                <wp:inline distT="0" distB="0" distL="0" distR="0" wp14:anchorId="6676213E" wp14:editId="5CE6404E">
                  <wp:extent cx="527977" cy="138279"/>
                  <wp:effectExtent l="0" t="0" r="0" b="1905"/>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z w:val="20"/>
                <w:lang w:bidi="fr-FR"/>
              </w:rPr>
              <w:t xml:space="preserve"> </w:t>
            </w:r>
            <w:r>
              <w:rPr>
                <w:color w:val="57585B"/>
                <w:sz w:val="18"/>
                <w:lang w:bidi="fr-FR"/>
              </w:rPr>
              <w:t>Par exemple, l’indicateur « Mobilisation communautaire et efforts de plaidoyer menés par zone préscolaire tous les trimestres pour renforcer la demande préscolaire » fusionne une activité (la mobilisation communautaire et les efforts de plaidoyer) avec une cible (toutes les zones préscolaires). En affinant l’indicateur d’activité, on pourrait avoir « Nombre de zones préscolaires ayant mené une mobilisation communautaire et des efforts de plaidoyer ».</w:t>
            </w:r>
          </w:p>
        </w:tc>
      </w:tr>
    </w:tbl>
    <w:p w:rsidR="00B86E3E" w:rsidRDefault="00B86E3E" w:rsidP="00B86E3E">
      <w:pPr>
        <w:rPr>
          <w:sz w:val="18"/>
        </w:rPr>
        <w:sectPr w:rsidR="00B86E3E">
          <w:pgSz w:w="20160" w:h="12240" w:orient="landscape"/>
          <w:pgMar w:top="880" w:right="1020" w:bottom="280" w:left="1000" w:header="571" w:footer="0" w:gutter="0"/>
          <w:cols w:space="720"/>
        </w:sectPr>
      </w:pPr>
    </w:p>
    <w:p w:rsidR="00C3075C" w:rsidRDefault="00C3075C">
      <w:pPr>
        <w:pStyle w:val="Textoindependiente"/>
        <w:rPr>
          <w:rFonts w:ascii="Times New Roman"/>
        </w:rPr>
      </w:pPr>
    </w:p>
    <w:p w:rsidR="00C3075C" w:rsidRDefault="00C3075C">
      <w:pPr>
        <w:pStyle w:val="Textoindependiente"/>
        <w:rPr>
          <w:rFonts w:ascii="Times New Roman"/>
          <w:sz w:val="12"/>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5613"/>
        <w:gridCol w:w="1531"/>
        <w:gridCol w:w="8635"/>
      </w:tblGrid>
      <w:tr w:rsidR="00B86E3E" w:rsidTr="00B86E3E">
        <w:trPr>
          <w:trHeight w:val="757"/>
        </w:trPr>
        <w:tc>
          <w:tcPr>
            <w:tcW w:w="2115" w:type="dxa"/>
            <w:tcBorders>
              <w:left w:val="nil"/>
            </w:tcBorders>
            <w:shd w:val="clear" w:color="auto" w:fill="auto"/>
            <w:vAlign w:val="center"/>
          </w:tcPr>
          <w:p w:rsidR="00B86E3E" w:rsidRDefault="00B86E3E" w:rsidP="00B86E3E">
            <w:pPr>
              <w:pStyle w:val="TableParagraph"/>
              <w:ind w:left="0"/>
              <w:jc w:val="center"/>
              <w:rPr>
                <w:b/>
                <w:sz w:val="10"/>
              </w:rPr>
            </w:pPr>
            <w:r>
              <w:rPr>
                <w:b/>
                <w:color w:val="57585B"/>
                <w:sz w:val="18"/>
                <w:lang w:bidi="fr-FR"/>
              </w:rPr>
              <w:t xml:space="preserve">Type hiérarchique </w:t>
            </w:r>
            <w:r>
              <w:rPr>
                <w:b/>
                <w:color w:val="57585B"/>
                <w:sz w:val="18"/>
                <w:lang w:bidi="fr-FR"/>
              </w:rPr>
              <w:br/>
              <w:t>des indicateurs</w:t>
            </w:r>
            <w:r>
              <w:rPr>
                <w:b/>
                <w:color w:val="57585B"/>
                <w:position w:val="6"/>
                <w:sz w:val="10"/>
                <w:lang w:bidi="fr-FR"/>
              </w:rPr>
              <w:t>2</w:t>
            </w:r>
          </w:p>
        </w:tc>
        <w:tc>
          <w:tcPr>
            <w:tcW w:w="5613" w:type="dxa"/>
            <w:vAlign w:val="center"/>
          </w:tcPr>
          <w:p w:rsidR="00B86E3E" w:rsidRDefault="00B86E3E" w:rsidP="00B86E3E">
            <w:pPr>
              <w:pStyle w:val="TableParagraph"/>
              <w:ind w:left="0"/>
              <w:jc w:val="center"/>
              <w:rPr>
                <w:sz w:val="18"/>
              </w:rPr>
            </w:pPr>
            <w:r>
              <w:rPr>
                <w:b/>
                <w:color w:val="57585B"/>
                <w:sz w:val="18"/>
                <w:lang w:bidi="fr-FR"/>
              </w:rPr>
              <w:t xml:space="preserve">Critères de définition des indicateurs </w:t>
            </w:r>
            <w:r>
              <w:rPr>
                <w:color w:val="57585B"/>
                <w:sz w:val="18"/>
                <w:lang w:bidi="fr-FR"/>
              </w:rPr>
              <w:t xml:space="preserve">(adaptés du </w:t>
            </w:r>
            <w:hyperlink r:id="rId19">
              <w:r>
                <w:rPr>
                  <w:color w:val="57585B"/>
                  <w:sz w:val="18"/>
                  <w:u w:val="single" w:color="57585B"/>
                  <w:lang w:bidi="fr-FR"/>
                </w:rPr>
                <w:t>module 4 du MOOC, pages 16-17</w:t>
              </w:r>
            </w:hyperlink>
            <w:r>
              <w:rPr>
                <w:color w:val="57585B"/>
                <w:sz w:val="18"/>
                <w:lang w:bidi="fr-FR"/>
              </w:rPr>
              <w:t xml:space="preserve"> et du </w:t>
            </w:r>
            <w:hyperlink r:id="rId20">
              <w:r>
                <w:rPr>
                  <w:color w:val="57585B"/>
                  <w:sz w:val="18"/>
                  <w:u w:val="single" w:color="57585B"/>
                  <w:lang w:bidi="fr-FR"/>
                </w:rPr>
                <w:t>module 5, pages 14-16</w:t>
              </w:r>
            </w:hyperlink>
            <w:r>
              <w:rPr>
                <w:color w:val="57585B"/>
                <w:sz w:val="18"/>
                <w:lang w:bidi="fr-FR"/>
              </w:rPr>
              <w:t>)</w:t>
            </w:r>
          </w:p>
        </w:tc>
        <w:tc>
          <w:tcPr>
            <w:tcW w:w="1531" w:type="dxa"/>
            <w:vAlign w:val="center"/>
          </w:tcPr>
          <w:p w:rsidR="00B86E3E" w:rsidRDefault="00B86E3E" w:rsidP="00B86E3E">
            <w:pPr>
              <w:pStyle w:val="TableParagraph"/>
              <w:ind w:left="0"/>
              <w:jc w:val="center"/>
              <w:rPr>
                <w:b/>
                <w:sz w:val="18"/>
              </w:rPr>
            </w:pPr>
            <w:r>
              <w:rPr>
                <w:b/>
                <w:color w:val="57585B"/>
                <w:sz w:val="18"/>
                <w:lang w:bidi="fr-FR"/>
              </w:rPr>
              <w:t>Réponse</w:t>
            </w:r>
          </w:p>
        </w:tc>
        <w:tc>
          <w:tcPr>
            <w:tcW w:w="8635" w:type="dxa"/>
            <w:tcBorders>
              <w:right w:val="nil"/>
            </w:tcBorders>
            <w:vAlign w:val="center"/>
          </w:tcPr>
          <w:p w:rsidR="00B86E3E" w:rsidRDefault="00B86E3E" w:rsidP="00B86E3E">
            <w:pPr>
              <w:pStyle w:val="TableParagraph"/>
              <w:ind w:left="0"/>
              <w:jc w:val="center"/>
              <w:rPr>
                <w:b/>
                <w:sz w:val="18"/>
              </w:rPr>
            </w:pPr>
            <w:r>
              <w:rPr>
                <w:b/>
                <w:color w:val="57585B"/>
                <w:sz w:val="18"/>
                <w:lang w:bidi="fr-FR"/>
              </w:rPr>
              <w:t>Considérations fréquentes pour l’application des critères, avec exemples</w:t>
            </w:r>
          </w:p>
        </w:tc>
      </w:tr>
      <w:tr w:rsidR="00B86E3E" w:rsidTr="00FC3700">
        <w:trPr>
          <w:trHeight w:val="3988"/>
        </w:trPr>
        <w:tc>
          <w:tcPr>
            <w:tcW w:w="2115" w:type="dxa"/>
            <w:tcBorders>
              <w:left w:val="nil"/>
            </w:tcBorders>
            <w:shd w:val="clear" w:color="auto" w:fill="F1F2F2"/>
          </w:tcPr>
          <w:p w:rsidR="00B86E3E" w:rsidRDefault="00B86E3E" w:rsidP="00B86E3E">
            <w:pPr>
              <w:pStyle w:val="TableParagraph"/>
              <w:ind w:left="0"/>
              <w:rPr>
                <w:rFonts w:ascii="Times New Roman"/>
                <w:sz w:val="16"/>
              </w:rPr>
            </w:pPr>
          </w:p>
        </w:tc>
        <w:tc>
          <w:tcPr>
            <w:tcW w:w="5613" w:type="dxa"/>
          </w:tcPr>
          <w:p w:rsidR="00B86E3E" w:rsidRDefault="00B86E3E" w:rsidP="00B86E3E">
            <w:pPr>
              <w:pStyle w:val="TableParagraph"/>
              <w:ind w:left="0"/>
              <w:rPr>
                <w:rFonts w:ascii="Times New Roman"/>
                <w:sz w:val="16"/>
              </w:rPr>
            </w:pPr>
          </w:p>
        </w:tc>
        <w:tc>
          <w:tcPr>
            <w:tcW w:w="1531" w:type="dxa"/>
          </w:tcPr>
          <w:p w:rsidR="00B86E3E" w:rsidRDefault="00B86E3E" w:rsidP="00B86E3E">
            <w:pPr>
              <w:pStyle w:val="TableParagraph"/>
              <w:ind w:left="0"/>
              <w:rPr>
                <w:rFonts w:ascii="Times New Roman"/>
                <w:sz w:val="16"/>
              </w:rPr>
            </w:pPr>
          </w:p>
        </w:tc>
        <w:tc>
          <w:tcPr>
            <w:tcW w:w="8635" w:type="dxa"/>
            <w:tcBorders>
              <w:right w:val="nil"/>
            </w:tcBorders>
          </w:tcPr>
          <w:p w:rsidR="00B86E3E" w:rsidRDefault="00B86E3E" w:rsidP="00B86E3E">
            <w:pPr>
              <w:pStyle w:val="TableParagraph"/>
              <w:spacing w:before="127"/>
              <w:rPr>
                <w:b/>
                <w:sz w:val="18"/>
              </w:rPr>
            </w:pPr>
            <w:r>
              <w:rPr>
                <w:b/>
                <w:color w:val="57585B"/>
                <w:sz w:val="18"/>
                <w:lang w:bidi="fr-FR"/>
              </w:rPr>
              <w:t>Considérations supplémentaires pour les indicateurs d’activité :</w:t>
            </w:r>
          </w:p>
          <w:p w:rsidR="00B86E3E" w:rsidRDefault="00B86E3E" w:rsidP="00B86E3E">
            <w:pPr>
              <w:pStyle w:val="TableParagraph"/>
              <w:numPr>
                <w:ilvl w:val="0"/>
                <w:numId w:val="2"/>
              </w:numPr>
              <w:tabs>
                <w:tab w:val="left" w:pos="527"/>
                <w:tab w:val="left" w:pos="528"/>
              </w:tabs>
              <w:spacing w:before="118" w:line="278" w:lineRule="auto"/>
              <w:ind w:right="262"/>
              <w:rPr>
                <w:sz w:val="18"/>
              </w:rPr>
            </w:pPr>
            <w:r>
              <w:rPr>
                <w:b/>
                <w:color w:val="57585B"/>
                <w:sz w:val="18"/>
                <w:lang w:bidi="fr-FR"/>
              </w:rPr>
              <w:t xml:space="preserve">Possèdent-ils ou non des méthodes de collecte de données préexistantes ? </w:t>
            </w:r>
            <w:r>
              <w:rPr>
                <w:color w:val="57585B"/>
                <w:sz w:val="18"/>
                <w:lang w:bidi="fr-FR"/>
              </w:rPr>
              <w:t>Ils ne possèdent souvent pas de méthodes de collecte de données préexistantes. Dans ce cas, les critères « atteignables » et « temporellement définis » sont particulièrement importants à « vérifier ».</w:t>
            </w:r>
          </w:p>
          <w:p w:rsidR="00B86E3E" w:rsidRDefault="00B86E3E" w:rsidP="00B86E3E">
            <w:pPr>
              <w:pStyle w:val="TableParagraph"/>
              <w:numPr>
                <w:ilvl w:val="0"/>
                <w:numId w:val="2"/>
              </w:numPr>
              <w:tabs>
                <w:tab w:val="left" w:pos="527"/>
                <w:tab w:val="left" w:pos="528"/>
              </w:tabs>
              <w:spacing w:before="85" w:line="278" w:lineRule="auto"/>
              <w:ind w:right="207"/>
              <w:rPr>
                <w:sz w:val="18"/>
              </w:rPr>
            </w:pPr>
            <w:r>
              <w:rPr>
                <w:b/>
                <w:color w:val="57585B"/>
                <w:sz w:val="18"/>
                <w:lang w:bidi="fr-FR"/>
              </w:rPr>
              <w:t xml:space="preserve">Plusieurs sources de données et mécanismes de coordination sont-ils en place pour rassembler les données dans l’ensemble des sources ? </w:t>
            </w:r>
            <w:r>
              <w:rPr>
                <w:color w:val="57585B"/>
                <w:sz w:val="18"/>
                <w:lang w:bidi="fr-FR"/>
              </w:rPr>
              <w:t>Ces indicateurs peuvent avoir de nombreuses sources différentes et/ou des mécanismes ou processus de coordination limités pour consolider les données dans l’ensemble des sources (par exemple, dans certains districts, différents partenaires de la société civile et confessionnels fournissent des services d’EPE en plus des prestataires de services d’EPE publics).</w:t>
            </w:r>
          </w:p>
          <w:p w:rsidR="00B86E3E" w:rsidRDefault="00B86E3E" w:rsidP="00B86E3E">
            <w:pPr>
              <w:pStyle w:val="TableParagraph"/>
              <w:numPr>
                <w:ilvl w:val="0"/>
                <w:numId w:val="2"/>
              </w:numPr>
              <w:tabs>
                <w:tab w:val="left" w:pos="527"/>
                <w:tab w:val="left" w:pos="528"/>
              </w:tabs>
              <w:spacing w:before="84" w:line="278" w:lineRule="auto"/>
              <w:ind w:right="328"/>
              <w:rPr>
                <w:sz w:val="18"/>
              </w:rPr>
            </w:pPr>
            <w:r>
              <w:rPr>
                <w:b/>
                <w:color w:val="57585B"/>
                <w:sz w:val="18"/>
                <w:lang w:bidi="fr-FR"/>
              </w:rPr>
              <w:t xml:space="preserve">À quelle fréquence les données seront-elles rassemblées et présentées dans des rapports, et par qui (institutions individuelles et collectivement avec les partenaires) ? </w:t>
            </w:r>
            <w:r>
              <w:rPr>
                <w:color w:val="57585B"/>
                <w:sz w:val="18"/>
                <w:lang w:bidi="fr-FR"/>
              </w:rPr>
              <w:t>Les indicateurs d’activité devront être mis à jour plus régulièrement que les résultats de haut niveau car ils seront utilisés pour un suivi plus fréquent.</w:t>
            </w:r>
          </w:p>
          <w:p w:rsidR="00B86E3E" w:rsidRDefault="00B86E3E" w:rsidP="00B86E3E">
            <w:pPr>
              <w:pStyle w:val="TableParagraph"/>
              <w:spacing w:before="85" w:line="278" w:lineRule="auto"/>
              <w:ind w:right="488"/>
              <w:rPr>
                <w:sz w:val="18"/>
              </w:rPr>
            </w:pPr>
            <w:r>
              <w:rPr>
                <w:color w:val="8A8A8C"/>
                <w:sz w:val="18"/>
                <w:lang w:bidi="fr-FR"/>
              </w:rPr>
              <w:t>Remarque : Selon le contexte du pays, les indicateurs d’activité peuvent être élaborés pendant l’étape de planification des opérations.</w:t>
            </w:r>
          </w:p>
        </w:tc>
      </w:tr>
    </w:tbl>
    <w:p w:rsidR="009F2044" w:rsidRDefault="009F2044">
      <w:pPr>
        <w:pStyle w:val="Textoindependiente"/>
        <w:rPr>
          <w:rFonts w:ascii="Times New Roman"/>
          <w:sz w:val="12"/>
        </w:rPr>
      </w:pPr>
    </w:p>
    <w:p w:rsidR="009F2044" w:rsidRDefault="009F2044">
      <w:pPr>
        <w:pStyle w:val="Textoindependiente"/>
        <w:rPr>
          <w:rFonts w:ascii="Times New Roman"/>
          <w:sz w:val="12"/>
        </w:rPr>
      </w:pPr>
    </w:p>
    <w:p w:rsidR="00C3075C" w:rsidRDefault="0081041E">
      <w:pPr>
        <w:pStyle w:val="Prrafodelista"/>
        <w:numPr>
          <w:ilvl w:val="0"/>
          <w:numId w:val="1"/>
        </w:numPr>
        <w:tabs>
          <w:tab w:val="left" w:pos="448"/>
          <w:tab w:val="left" w:pos="449"/>
        </w:tabs>
        <w:spacing w:before="89"/>
        <w:rPr>
          <w:sz w:val="12"/>
        </w:rPr>
      </w:pPr>
      <w:r>
        <w:rPr>
          <w:color w:val="6D6E71"/>
          <w:sz w:val="12"/>
          <w:lang w:bidi="fr-FR"/>
        </w:rPr>
        <w:t>Ces aspects font l’objet de cours dans les modules du MOOC intitulés</w:t>
      </w:r>
      <w:hyperlink r:id="rId21">
        <w:r>
          <w:rPr>
            <w:color w:val="58595B"/>
            <w:sz w:val="12"/>
            <w:lang w:bidi="fr-FR"/>
          </w:rPr>
          <w:t xml:space="preserve"> </w:t>
        </w:r>
        <w:r>
          <w:rPr>
            <w:i/>
            <w:color w:val="58595B"/>
            <w:sz w:val="12"/>
            <w:u w:val="single" w:color="58595B"/>
            <w:lang w:bidi="fr-FR"/>
          </w:rPr>
          <w:t>« Intégrer l’éducation de la petite enfance dans la planification du secteur de l’éducation »</w:t>
        </w:r>
      </w:hyperlink>
      <w:r>
        <w:rPr>
          <w:color w:val="6D6E71"/>
          <w:sz w:val="12"/>
          <w:lang w:bidi="fr-FR"/>
        </w:rPr>
        <w:t>.</w:t>
      </w:r>
    </w:p>
    <w:p w:rsidR="00C3075C" w:rsidRDefault="0081041E">
      <w:pPr>
        <w:pStyle w:val="Prrafodelista"/>
        <w:numPr>
          <w:ilvl w:val="0"/>
          <w:numId w:val="1"/>
        </w:numPr>
        <w:tabs>
          <w:tab w:val="left" w:pos="450"/>
          <w:tab w:val="left" w:pos="451"/>
        </w:tabs>
        <w:spacing w:before="62"/>
        <w:ind w:left="450" w:hanging="317"/>
        <w:rPr>
          <w:sz w:val="12"/>
        </w:rPr>
      </w:pPr>
      <w:r>
        <w:rPr>
          <w:color w:val="6D6E71"/>
          <w:sz w:val="12"/>
          <w:lang w:bidi="fr-FR"/>
        </w:rPr>
        <w:t>Pour plus d’informations et d’exemples d’indicateurs en matière d’EPE dans l’ensemble du type de hiérarchie, veuillez consulter</w:t>
      </w:r>
      <w:hyperlink r:id="rId22">
        <w:r>
          <w:rPr>
            <w:color w:val="58595B"/>
            <w:sz w:val="12"/>
            <w:lang w:bidi="fr-FR"/>
          </w:rPr>
          <w:t xml:space="preserve"> </w:t>
        </w:r>
        <w:r>
          <w:rPr>
            <w:color w:val="58595B"/>
            <w:sz w:val="12"/>
            <w:u w:val="single" w:color="58595B"/>
            <w:lang w:bidi="fr-FR"/>
          </w:rPr>
          <w:t>l’aide-mémoire sur les indicateurs en matière d’EPE</w:t>
        </w:r>
      </w:hyperlink>
      <w:r>
        <w:rPr>
          <w:color w:val="6D6E71"/>
          <w:sz w:val="12"/>
          <w:lang w:bidi="fr-FR"/>
        </w:rPr>
        <w:t>.</w:t>
      </w:r>
    </w:p>
    <w:p w:rsidR="00C3075C" w:rsidRDefault="00C3075C">
      <w:pPr>
        <w:rPr>
          <w:sz w:val="12"/>
        </w:rPr>
      </w:pPr>
    </w:p>
    <w:p w:rsidR="00064DD1" w:rsidRDefault="00064DD1">
      <w:pPr>
        <w:rPr>
          <w:sz w:val="12"/>
        </w:rPr>
      </w:pPr>
    </w:p>
    <w:p w:rsidR="00064DD1" w:rsidRDefault="00064DD1">
      <w:pPr>
        <w:rPr>
          <w:sz w:val="12"/>
        </w:rPr>
      </w:pPr>
    </w:p>
    <w:p w:rsidR="00064DD1" w:rsidRDefault="00064DD1">
      <w:pPr>
        <w:rPr>
          <w:sz w:val="12"/>
        </w:rPr>
        <w:sectPr w:rsidR="00064DD1">
          <w:pgSz w:w="20160" w:h="12240" w:orient="landscape"/>
          <w:pgMar w:top="880" w:right="1020" w:bottom="280" w:left="1000" w:header="571" w:footer="0" w:gutter="0"/>
          <w:cols w:space="720"/>
        </w:sectPr>
      </w:pPr>
    </w:p>
    <w:p w:rsidR="00C3075C" w:rsidRDefault="000135D8">
      <w:pPr>
        <w:spacing w:before="70"/>
        <w:ind w:right="107"/>
        <w:jc w:val="right"/>
        <w:rPr>
          <w:sz w:val="16"/>
        </w:rPr>
      </w:pPr>
      <w:r>
        <w:rPr>
          <w:color w:val="808285"/>
          <w:sz w:val="16"/>
          <w:lang w:bidi="fr-FR"/>
        </w:rPr>
        <w:lastRenderedPageBreak/>
        <w:t>6</w:t>
      </w:r>
    </w:p>
    <w:p w:rsidR="004E7AF1" w:rsidRPr="00483EDA" w:rsidRDefault="0081041E" w:rsidP="00483EDA">
      <w:pPr>
        <w:pStyle w:val="Ttulo1"/>
        <w:spacing w:before="131"/>
        <w:rPr>
          <w:color w:val="913592"/>
          <w:lang w:bidi="fr-FR"/>
        </w:rPr>
      </w:pPr>
      <w:r>
        <w:rPr>
          <w:color w:val="913592"/>
          <w:lang w:bidi="fr-FR"/>
        </w:rPr>
        <w:t xml:space="preserve">Liste de contrôle et exemples : appliquer les recommandations sur la définition des cibles </w:t>
      </w:r>
      <w:r w:rsidR="00780968">
        <w:rPr>
          <w:color w:val="913592"/>
          <w:lang w:bidi="fr-FR"/>
        </w:rPr>
        <w:br/>
      </w:r>
      <w:r>
        <w:rPr>
          <w:color w:val="913592"/>
          <w:lang w:bidi="fr-FR"/>
        </w:rPr>
        <w:t>en matière d’EPE</w:t>
      </w:r>
    </w:p>
    <w:p w:rsidR="00483EDA" w:rsidRDefault="00483EDA">
      <w:pPr>
        <w:pStyle w:val="Textoindependiente"/>
        <w:spacing w:before="1"/>
        <w:ind w:left="113"/>
        <w:rPr>
          <w:color w:val="58595B"/>
          <w:lang w:bidi="fr-FR"/>
        </w:rPr>
      </w:pPr>
    </w:p>
    <w:p w:rsidR="00C3075C" w:rsidRDefault="0081041E">
      <w:pPr>
        <w:pStyle w:val="Textoindependiente"/>
        <w:spacing w:before="1"/>
        <w:ind w:left="113"/>
      </w:pPr>
      <w:r>
        <w:rPr>
          <w:color w:val="58595B"/>
          <w:lang w:bidi="fr-FR"/>
        </w:rPr>
        <w:t>Le groupe de travail technique sur l’EPE peut utiliser les considérations présentées dans la liste de contrôle pour définir, réviser et valider les cibles.</w:t>
      </w:r>
    </w:p>
    <w:p w:rsidR="00C3075C" w:rsidRDefault="00C3075C" w:rsidP="0089706A">
      <w:pPr>
        <w:pStyle w:val="Textoindependiente"/>
        <w:spacing w:before="6" w:after="1"/>
        <w:rPr>
          <w:sz w:val="27"/>
        </w:rPr>
      </w:pPr>
    </w:p>
    <w:tbl>
      <w:tblPr>
        <w:tblStyle w:val="TableNormal1"/>
        <w:tblW w:w="0" w:type="auto"/>
        <w:tblInd w:w="12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575"/>
        <w:gridCol w:w="12991"/>
      </w:tblGrid>
      <w:tr w:rsidR="00C3075C">
        <w:trPr>
          <w:trHeight w:val="372"/>
        </w:trPr>
        <w:tc>
          <w:tcPr>
            <w:tcW w:w="13566" w:type="dxa"/>
            <w:gridSpan w:val="2"/>
          </w:tcPr>
          <w:p w:rsidR="00C3075C" w:rsidRDefault="0081041E" w:rsidP="0089706A">
            <w:pPr>
              <w:pStyle w:val="TableParagraph"/>
              <w:spacing w:before="71"/>
              <w:ind w:left="0"/>
              <w:jc w:val="center"/>
              <w:rPr>
                <w:b/>
                <w:sz w:val="20"/>
              </w:rPr>
            </w:pPr>
            <w:r>
              <w:rPr>
                <w:b/>
                <w:color w:val="58595B"/>
                <w:sz w:val="20"/>
                <w:lang w:bidi="fr-FR"/>
              </w:rPr>
              <w:t>Liste de contrôle des considérations à</w:t>
            </w:r>
            <w:r w:rsidR="0089706A">
              <w:rPr>
                <w:b/>
                <w:color w:val="58595B"/>
                <w:sz w:val="20"/>
                <w:lang w:bidi="fr-FR"/>
              </w:rPr>
              <w:t xml:space="preserve"> </w:t>
            </w:r>
            <w:r>
              <w:rPr>
                <w:b/>
                <w:color w:val="58595B"/>
                <w:sz w:val="20"/>
                <w:lang w:bidi="fr-FR"/>
              </w:rPr>
              <w:t>prendre en compte pour définir la cible</w:t>
            </w:r>
          </w:p>
        </w:tc>
      </w:tr>
      <w:tr w:rsidR="00C3075C" w:rsidTr="002D3EBD">
        <w:trPr>
          <w:trHeight w:val="635"/>
        </w:trPr>
        <w:tc>
          <w:tcPr>
            <w:tcW w:w="575" w:type="dxa"/>
            <w:shd w:val="clear" w:color="auto" w:fill="F1F2F2"/>
          </w:tcPr>
          <w:p w:rsidR="00C3075C" w:rsidRDefault="00C3075C">
            <w:pPr>
              <w:pStyle w:val="TableParagraph"/>
              <w:ind w:left="0"/>
              <w:rPr>
                <w:sz w:val="19"/>
              </w:rPr>
            </w:pPr>
          </w:p>
          <w:p w:rsidR="00C3075C" w:rsidRDefault="0081041E">
            <w:pPr>
              <w:pStyle w:val="TableParagraph"/>
              <w:ind w:left="139"/>
              <w:rPr>
                <w:sz w:val="20"/>
              </w:rPr>
            </w:pPr>
            <w:r>
              <w:rPr>
                <w:noProof/>
                <w:sz w:val="20"/>
                <w:lang w:bidi="fr-FR"/>
              </w:rPr>
              <w:drawing>
                <wp:inline distT="0" distB="0" distL="0" distR="0" wp14:anchorId="58B65785" wp14:editId="664865A0">
                  <wp:extent cx="176199" cy="176212"/>
                  <wp:effectExtent l="0" t="0" r="0" b="0"/>
                  <wp:docPr id="6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9.png"/>
                          <pic:cNvPicPr/>
                        </pic:nvPicPr>
                        <pic:blipFill>
                          <a:blip r:embed="rId23" cstate="print"/>
                          <a:stretch>
                            <a:fillRect/>
                          </a:stretch>
                        </pic:blipFill>
                        <pic:spPr>
                          <a:xfrm>
                            <a:off x="0" y="0"/>
                            <a:ext cx="176199" cy="176212"/>
                          </a:xfrm>
                          <a:prstGeom prst="rect">
                            <a:avLst/>
                          </a:prstGeom>
                        </pic:spPr>
                      </pic:pic>
                    </a:graphicData>
                  </a:graphic>
                </wp:inline>
              </w:drawing>
            </w:r>
          </w:p>
        </w:tc>
        <w:tc>
          <w:tcPr>
            <w:tcW w:w="12991" w:type="dxa"/>
            <w:shd w:val="clear" w:color="auto" w:fill="F1F2F2"/>
          </w:tcPr>
          <w:p w:rsidR="00C3075C" w:rsidRDefault="00C3075C" w:rsidP="002D3EBD">
            <w:pPr>
              <w:pStyle w:val="TableParagraph"/>
              <w:ind w:left="113"/>
              <w:rPr>
                <w:sz w:val="17"/>
              </w:rPr>
            </w:pPr>
          </w:p>
          <w:p w:rsidR="00C3075C" w:rsidRDefault="0081041E" w:rsidP="002D3EBD">
            <w:pPr>
              <w:pStyle w:val="TableParagraph"/>
              <w:ind w:left="113"/>
              <w:rPr>
                <w:b/>
                <w:sz w:val="20"/>
              </w:rPr>
            </w:pPr>
            <w:r>
              <w:rPr>
                <w:b/>
                <w:color w:val="58595B"/>
                <w:sz w:val="20"/>
                <w:lang w:bidi="fr-FR"/>
              </w:rPr>
              <w:t>1. Les cibles en matière d’EPE correspondent aux indicateurs SMART (toutes les cibles).</w:t>
            </w:r>
          </w:p>
        </w:tc>
      </w:tr>
      <w:tr w:rsidR="00C3075C" w:rsidTr="002D3EBD">
        <w:trPr>
          <w:trHeight w:val="690"/>
        </w:trPr>
        <w:tc>
          <w:tcPr>
            <w:tcW w:w="575" w:type="dxa"/>
            <w:shd w:val="clear" w:color="auto" w:fill="F1F2F2"/>
          </w:tcPr>
          <w:p w:rsidR="00C3075C" w:rsidRDefault="00C3075C">
            <w:pPr>
              <w:pStyle w:val="TableParagraph"/>
              <w:spacing w:before="7"/>
              <w:ind w:left="0"/>
              <w:rPr>
                <w:sz w:val="18"/>
              </w:rPr>
            </w:pPr>
          </w:p>
          <w:p w:rsidR="00C3075C" w:rsidRDefault="0081041E">
            <w:pPr>
              <w:pStyle w:val="TableParagraph"/>
              <w:ind w:left="139"/>
              <w:rPr>
                <w:sz w:val="20"/>
              </w:rPr>
            </w:pPr>
            <w:r>
              <w:rPr>
                <w:noProof/>
                <w:sz w:val="20"/>
                <w:lang w:bidi="fr-FR"/>
              </w:rPr>
              <w:drawing>
                <wp:inline distT="0" distB="0" distL="0" distR="0" wp14:anchorId="026FA2F0" wp14:editId="0FCA95AD">
                  <wp:extent cx="176199" cy="176212"/>
                  <wp:effectExtent l="0" t="0" r="0" b="0"/>
                  <wp:docPr id="7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9.png"/>
                          <pic:cNvPicPr/>
                        </pic:nvPicPr>
                        <pic:blipFill>
                          <a:blip r:embed="rId23" cstate="print"/>
                          <a:stretch>
                            <a:fillRect/>
                          </a:stretch>
                        </pic:blipFill>
                        <pic:spPr>
                          <a:xfrm>
                            <a:off x="0" y="0"/>
                            <a:ext cx="176199" cy="176212"/>
                          </a:xfrm>
                          <a:prstGeom prst="rect">
                            <a:avLst/>
                          </a:prstGeom>
                        </pic:spPr>
                      </pic:pic>
                    </a:graphicData>
                  </a:graphic>
                </wp:inline>
              </w:drawing>
            </w:r>
          </w:p>
        </w:tc>
        <w:tc>
          <w:tcPr>
            <w:tcW w:w="12991" w:type="dxa"/>
            <w:shd w:val="clear" w:color="auto" w:fill="F1F2F2"/>
          </w:tcPr>
          <w:p w:rsidR="00C3075C" w:rsidRDefault="00C3075C" w:rsidP="002D3EBD">
            <w:pPr>
              <w:pStyle w:val="TableParagraph"/>
              <w:ind w:left="113"/>
              <w:rPr>
                <w:sz w:val="17"/>
              </w:rPr>
            </w:pPr>
          </w:p>
          <w:p w:rsidR="00C3075C" w:rsidRDefault="0081041E" w:rsidP="002D3EBD">
            <w:pPr>
              <w:pStyle w:val="TableParagraph"/>
              <w:ind w:left="113"/>
              <w:rPr>
                <w:b/>
                <w:sz w:val="20"/>
              </w:rPr>
            </w:pPr>
            <w:r>
              <w:rPr>
                <w:b/>
                <w:color w:val="58595B"/>
                <w:sz w:val="20"/>
                <w:lang w:bidi="fr-FR"/>
              </w:rPr>
              <w:t>2. Une analyse des tendances est effectuée pour évaluer la possibilité d</w:t>
            </w:r>
            <w:r w:rsidR="00086DD3">
              <w:rPr>
                <w:b/>
                <w:color w:val="58595B"/>
                <w:sz w:val="20"/>
                <w:lang w:bidi="fr-FR"/>
              </w:rPr>
              <w:t>’</w:t>
            </w:r>
            <w:r>
              <w:rPr>
                <w:b/>
                <w:color w:val="58595B"/>
                <w:sz w:val="20"/>
                <w:lang w:bidi="fr-FR"/>
              </w:rPr>
              <w:t>atteindre les cibles à partir des indicateurs proposés (priorités stratégiques et stratégies cibles uniquement).</w:t>
            </w:r>
          </w:p>
        </w:tc>
      </w:tr>
      <w:tr w:rsidR="00C3075C" w:rsidTr="002D3EBD">
        <w:trPr>
          <w:trHeight w:val="690"/>
        </w:trPr>
        <w:tc>
          <w:tcPr>
            <w:tcW w:w="575" w:type="dxa"/>
            <w:shd w:val="clear" w:color="auto" w:fill="F1F2F2"/>
          </w:tcPr>
          <w:p w:rsidR="00C3075C" w:rsidRDefault="00C3075C">
            <w:pPr>
              <w:pStyle w:val="TableParagraph"/>
              <w:spacing w:before="3"/>
              <w:ind w:left="0"/>
              <w:rPr>
                <w:sz w:val="15"/>
              </w:rPr>
            </w:pPr>
          </w:p>
          <w:p w:rsidR="00C3075C" w:rsidRDefault="0081041E">
            <w:pPr>
              <w:pStyle w:val="TableParagraph"/>
              <w:ind w:left="139"/>
              <w:rPr>
                <w:sz w:val="20"/>
              </w:rPr>
            </w:pPr>
            <w:r>
              <w:rPr>
                <w:noProof/>
                <w:sz w:val="20"/>
                <w:lang w:bidi="fr-FR"/>
              </w:rPr>
              <w:drawing>
                <wp:inline distT="0" distB="0" distL="0" distR="0" wp14:anchorId="69DCC213" wp14:editId="550E3488">
                  <wp:extent cx="177342" cy="177355"/>
                  <wp:effectExtent l="0" t="0" r="0" b="0"/>
                  <wp:docPr id="7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0.png"/>
                          <pic:cNvPicPr/>
                        </pic:nvPicPr>
                        <pic:blipFill>
                          <a:blip r:embed="rId24" cstate="print"/>
                          <a:stretch>
                            <a:fillRect/>
                          </a:stretch>
                        </pic:blipFill>
                        <pic:spPr>
                          <a:xfrm>
                            <a:off x="0" y="0"/>
                            <a:ext cx="177342" cy="177355"/>
                          </a:xfrm>
                          <a:prstGeom prst="rect">
                            <a:avLst/>
                          </a:prstGeom>
                        </pic:spPr>
                      </pic:pic>
                    </a:graphicData>
                  </a:graphic>
                </wp:inline>
              </w:drawing>
            </w:r>
          </w:p>
        </w:tc>
        <w:tc>
          <w:tcPr>
            <w:tcW w:w="12991" w:type="dxa"/>
            <w:shd w:val="clear" w:color="auto" w:fill="F1F2F2"/>
          </w:tcPr>
          <w:p w:rsidR="00C3075C" w:rsidRDefault="0081041E" w:rsidP="002D3EBD">
            <w:pPr>
              <w:pStyle w:val="TableParagraph"/>
              <w:ind w:left="113"/>
              <w:rPr>
                <w:b/>
                <w:sz w:val="20"/>
              </w:rPr>
            </w:pPr>
            <w:r>
              <w:rPr>
                <w:b/>
                <w:color w:val="58595B"/>
                <w:sz w:val="20"/>
                <w:lang w:bidi="fr-FR"/>
              </w:rPr>
              <w:t>3. Les cibles en matière d’EPE sont des intrants au modèle de simulation et sont affinées au cours d’un processus itératif qui utilise les données probantes issues des</w:t>
            </w:r>
          </w:p>
          <w:p w:rsidR="00C3075C" w:rsidRDefault="0081041E" w:rsidP="002D3EBD">
            <w:pPr>
              <w:pStyle w:val="TableParagraph"/>
              <w:ind w:left="113"/>
              <w:rPr>
                <w:b/>
                <w:sz w:val="20"/>
              </w:rPr>
            </w:pPr>
            <w:r>
              <w:rPr>
                <w:b/>
                <w:color w:val="58595B"/>
                <w:sz w:val="20"/>
                <w:lang w:bidi="fr-FR"/>
              </w:rPr>
              <w:t>modèles de simulation (toutes les cibles).</w:t>
            </w:r>
          </w:p>
        </w:tc>
      </w:tr>
      <w:tr w:rsidR="00C3075C" w:rsidTr="002D3EBD">
        <w:trPr>
          <w:trHeight w:val="690"/>
        </w:trPr>
        <w:tc>
          <w:tcPr>
            <w:tcW w:w="575" w:type="dxa"/>
            <w:shd w:val="clear" w:color="auto" w:fill="F1F2F2"/>
          </w:tcPr>
          <w:p w:rsidR="00C3075C" w:rsidRDefault="00C3075C">
            <w:pPr>
              <w:pStyle w:val="TableParagraph"/>
              <w:spacing w:before="6"/>
              <w:ind w:left="0"/>
              <w:rPr>
                <w:sz w:val="14"/>
              </w:rPr>
            </w:pPr>
          </w:p>
          <w:p w:rsidR="00C3075C" w:rsidRDefault="0081041E">
            <w:pPr>
              <w:pStyle w:val="TableParagraph"/>
              <w:ind w:left="139"/>
              <w:rPr>
                <w:sz w:val="20"/>
              </w:rPr>
            </w:pPr>
            <w:r>
              <w:rPr>
                <w:noProof/>
                <w:sz w:val="20"/>
                <w:lang w:bidi="fr-FR"/>
              </w:rPr>
              <w:drawing>
                <wp:inline distT="0" distB="0" distL="0" distR="0" wp14:anchorId="1D02393F" wp14:editId="795AF8AE">
                  <wp:extent cx="177342" cy="177355"/>
                  <wp:effectExtent l="0" t="0" r="0" b="0"/>
                  <wp:docPr id="7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0.png"/>
                          <pic:cNvPicPr/>
                        </pic:nvPicPr>
                        <pic:blipFill>
                          <a:blip r:embed="rId24" cstate="print"/>
                          <a:stretch>
                            <a:fillRect/>
                          </a:stretch>
                        </pic:blipFill>
                        <pic:spPr>
                          <a:xfrm>
                            <a:off x="0" y="0"/>
                            <a:ext cx="177342" cy="177355"/>
                          </a:xfrm>
                          <a:prstGeom prst="rect">
                            <a:avLst/>
                          </a:prstGeom>
                        </pic:spPr>
                      </pic:pic>
                    </a:graphicData>
                  </a:graphic>
                </wp:inline>
              </w:drawing>
            </w:r>
          </w:p>
        </w:tc>
        <w:tc>
          <w:tcPr>
            <w:tcW w:w="12991" w:type="dxa"/>
            <w:shd w:val="clear" w:color="auto" w:fill="F1F2F2"/>
          </w:tcPr>
          <w:p w:rsidR="00C3075C" w:rsidRDefault="00C3075C" w:rsidP="002D3EBD">
            <w:pPr>
              <w:pStyle w:val="TableParagraph"/>
              <w:ind w:left="113"/>
              <w:rPr>
                <w:sz w:val="17"/>
              </w:rPr>
            </w:pPr>
          </w:p>
          <w:p w:rsidR="00C3075C" w:rsidRDefault="0081041E" w:rsidP="002D3EBD">
            <w:pPr>
              <w:pStyle w:val="TableParagraph"/>
              <w:ind w:left="113"/>
              <w:rPr>
                <w:b/>
                <w:sz w:val="20"/>
              </w:rPr>
            </w:pPr>
            <w:r>
              <w:rPr>
                <w:b/>
                <w:color w:val="58595B"/>
                <w:sz w:val="20"/>
                <w:lang w:bidi="fr-FR"/>
              </w:rPr>
              <w:t>4. Des critères de référence internationaux sont utilisés pour valider la possibilité d’atteindre les cibles en matière d’EPE (priorités stratégiques et stratégies cibles uniquement).</w:t>
            </w:r>
          </w:p>
        </w:tc>
      </w:tr>
    </w:tbl>
    <w:p w:rsidR="00C3075C" w:rsidRDefault="00CF6432">
      <w:pPr>
        <w:pStyle w:val="Textoindependiente"/>
        <w:rPr>
          <w:sz w:val="22"/>
        </w:rPr>
      </w:pPr>
      <w:r>
        <w:rPr>
          <w:noProof/>
          <w:sz w:val="22"/>
        </w:rPr>
        <mc:AlternateContent>
          <mc:Choice Requires="wps">
            <w:drawing>
              <wp:anchor distT="0" distB="0" distL="114300" distR="114300" simplePos="0" relativeHeight="251659264" behindDoc="0" locked="0" layoutInCell="1" allowOverlap="1" wp14:anchorId="58C1B06F" wp14:editId="0D79D1BC">
                <wp:simplePos x="0" y="0"/>
                <wp:positionH relativeFrom="column">
                  <wp:posOffset>76919</wp:posOffset>
                </wp:positionH>
                <wp:positionV relativeFrom="paragraph">
                  <wp:posOffset>126748</wp:posOffset>
                </wp:positionV>
                <wp:extent cx="8656320" cy="3899140"/>
                <wp:effectExtent l="0" t="0" r="5080" b="0"/>
                <wp:wrapNone/>
                <wp:docPr id="14" name="Cuadro de texto 14"/>
                <wp:cNvGraphicFramePr/>
                <a:graphic xmlns:a="http://schemas.openxmlformats.org/drawingml/2006/main">
                  <a:graphicData uri="http://schemas.microsoft.com/office/word/2010/wordprocessingShape">
                    <wps:wsp>
                      <wps:cNvSpPr txBox="1"/>
                      <wps:spPr>
                        <a:xfrm>
                          <a:off x="0" y="0"/>
                          <a:ext cx="8656320" cy="3899140"/>
                        </a:xfrm>
                        <a:prstGeom prst="rect">
                          <a:avLst/>
                        </a:prstGeom>
                        <a:solidFill>
                          <a:schemeClr val="bg1">
                            <a:lumMod val="95000"/>
                          </a:schemeClr>
                        </a:solidFill>
                        <a:ln w="6350">
                          <a:noFill/>
                        </a:ln>
                      </wps:spPr>
                      <wps:txbx>
                        <w:txbxContent>
                          <w:p w:rsidR="00673A70" w:rsidRDefault="00FA115F" w:rsidP="00FA115F">
                            <w:pPr>
                              <w:pStyle w:val="Textoindependiente"/>
                              <w:spacing w:before="166"/>
                              <w:ind w:left="426"/>
                            </w:pPr>
                            <w:r>
                              <w:rPr>
                                <w:noProof/>
                                <w:position w:val="-3"/>
                                <w:lang w:bidi="fr-FR"/>
                              </w:rPr>
                              <w:drawing>
                                <wp:inline distT="0" distB="0" distL="0" distR="0" wp14:anchorId="5A5D1CDC" wp14:editId="41291331">
                                  <wp:extent cx="527977" cy="138279"/>
                                  <wp:effectExtent l="0" t="0" r="0" b="1905"/>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color w:val="58595B"/>
                                <w:lang w:bidi="fr-FR"/>
                              </w:rPr>
                              <w:t xml:space="preserve"> </w:t>
                            </w:r>
                            <w:r w:rsidR="00673A70">
                              <w:rPr>
                                <w:color w:val="58595B"/>
                                <w:lang w:bidi="fr-FR"/>
                              </w:rPr>
                              <w:t>L’exemple de Sao Tomé-et-Principe ci-dessous illustre la manière dont on peut utiliser la liste de contrôle.</w:t>
                            </w:r>
                          </w:p>
                          <w:p w:rsidR="00673A70" w:rsidRDefault="00673A70" w:rsidP="00673A70">
                            <w:pPr>
                              <w:pStyle w:val="Textoindependiente"/>
                              <w:spacing w:before="7"/>
                              <w:rPr>
                                <w:sz w:val="27"/>
                              </w:rPr>
                            </w:pPr>
                          </w:p>
                          <w:tbl>
                            <w:tblPr>
                              <w:tblStyle w:val="TableNormal1"/>
                              <w:tblW w:w="0" w:type="auto"/>
                              <w:tblInd w:w="45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5386"/>
                              <w:gridCol w:w="2378"/>
                              <w:gridCol w:w="2409"/>
                              <w:gridCol w:w="2410"/>
                            </w:tblGrid>
                            <w:tr w:rsidR="00673A70" w:rsidTr="006C5266">
                              <w:trPr>
                                <w:trHeight w:val="355"/>
                              </w:trPr>
                              <w:tc>
                                <w:tcPr>
                                  <w:tcW w:w="5386" w:type="dxa"/>
                                  <w:tcBorders>
                                    <w:left w:val="nil"/>
                                  </w:tcBorders>
                                  <w:shd w:val="clear" w:color="auto" w:fill="F9F4F9"/>
                                </w:tcPr>
                                <w:p w:rsidR="00673A70" w:rsidRDefault="00673A70" w:rsidP="00673A70">
                                  <w:pPr>
                                    <w:pStyle w:val="TableParagraph"/>
                                    <w:spacing w:before="74"/>
                                    <w:ind w:left="0"/>
                                    <w:jc w:val="center"/>
                                    <w:rPr>
                                      <w:b/>
                                      <w:sz w:val="18"/>
                                    </w:rPr>
                                  </w:pPr>
                                  <w:r>
                                    <w:rPr>
                                      <w:b/>
                                      <w:color w:val="58595B"/>
                                      <w:sz w:val="18"/>
                                      <w:lang w:bidi="fr-FR"/>
                                    </w:rPr>
                                    <w:t>Politique stratégique</w:t>
                                  </w:r>
                                </w:p>
                              </w:tc>
                              <w:tc>
                                <w:tcPr>
                                  <w:tcW w:w="2378" w:type="dxa"/>
                                  <w:shd w:val="clear" w:color="auto" w:fill="F9F4F9"/>
                                </w:tcPr>
                                <w:p w:rsidR="00673A70" w:rsidRDefault="00673A70" w:rsidP="00673A70">
                                  <w:pPr>
                                    <w:pStyle w:val="TableParagraph"/>
                                    <w:spacing w:before="74"/>
                                    <w:ind w:left="0"/>
                                    <w:jc w:val="center"/>
                                    <w:rPr>
                                      <w:b/>
                                      <w:sz w:val="18"/>
                                    </w:rPr>
                                  </w:pPr>
                                  <w:r>
                                    <w:rPr>
                                      <w:b/>
                                      <w:color w:val="58595B"/>
                                      <w:sz w:val="18"/>
                                      <w:lang w:bidi="fr-FR"/>
                                    </w:rPr>
                                    <w:t>Indicateur</w:t>
                                  </w:r>
                                </w:p>
                              </w:tc>
                              <w:tc>
                                <w:tcPr>
                                  <w:tcW w:w="2409" w:type="dxa"/>
                                  <w:shd w:val="clear" w:color="auto" w:fill="F9F4F9"/>
                                </w:tcPr>
                                <w:p w:rsidR="00673A70" w:rsidRDefault="00673A70" w:rsidP="00673A70">
                                  <w:pPr>
                                    <w:pStyle w:val="TableParagraph"/>
                                    <w:spacing w:before="74"/>
                                    <w:ind w:left="0"/>
                                    <w:jc w:val="center"/>
                                    <w:rPr>
                                      <w:b/>
                                      <w:sz w:val="18"/>
                                    </w:rPr>
                                  </w:pPr>
                                  <w:r>
                                    <w:rPr>
                                      <w:b/>
                                      <w:color w:val="58595B"/>
                                      <w:sz w:val="18"/>
                                      <w:lang w:bidi="fr-FR"/>
                                    </w:rPr>
                                    <w:t>Donnée(s) de référence (2019)</w:t>
                                  </w:r>
                                </w:p>
                              </w:tc>
                              <w:tc>
                                <w:tcPr>
                                  <w:tcW w:w="2410" w:type="dxa"/>
                                  <w:tcBorders>
                                    <w:right w:val="nil"/>
                                  </w:tcBorders>
                                  <w:shd w:val="clear" w:color="auto" w:fill="F9F4F9"/>
                                </w:tcPr>
                                <w:p w:rsidR="00673A70" w:rsidRDefault="00673A70" w:rsidP="00673A70">
                                  <w:pPr>
                                    <w:pStyle w:val="TableParagraph"/>
                                    <w:spacing w:before="74"/>
                                    <w:ind w:left="0"/>
                                    <w:jc w:val="center"/>
                                    <w:rPr>
                                      <w:b/>
                                      <w:sz w:val="18"/>
                                    </w:rPr>
                                  </w:pPr>
                                  <w:r>
                                    <w:rPr>
                                      <w:b/>
                                      <w:color w:val="58595B"/>
                                      <w:sz w:val="18"/>
                                      <w:lang w:bidi="fr-FR"/>
                                    </w:rPr>
                                    <w:t>Cible (2022)</w:t>
                                  </w:r>
                                </w:p>
                              </w:tc>
                            </w:tr>
                            <w:tr w:rsidR="00673A70" w:rsidTr="006C5266">
                              <w:trPr>
                                <w:trHeight w:val="864"/>
                              </w:trPr>
                              <w:tc>
                                <w:tcPr>
                                  <w:tcW w:w="5386" w:type="dxa"/>
                                  <w:tcBorders>
                                    <w:left w:val="nil"/>
                                  </w:tcBorders>
                                  <w:shd w:val="clear" w:color="auto" w:fill="F9F4F9"/>
                                </w:tcPr>
                                <w:p w:rsidR="00673A70" w:rsidRDefault="00673A70" w:rsidP="00673A70">
                                  <w:pPr>
                                    <w:pStyle w:val="TableParagraph"/>
                                    <w:spacing w:before="89" w:line="278" w:lineRule="auto"/>
                                    <w:ind w:left="3"/>
                                    <w:rPr>
                                      <w:b/>
                                      <w:sz w:val="18"/>
                                    </w:rPr>
                                  </w:pPr>
                                  <w:r>
                                    <w:rPr>
                                      <w:b/>
                                      <w:color w:val="58595B"/>
                                      <w:sz w:val="18"/>
                                      <w:lang w:bidi="fr-FR"/>
                                    </w:rPr>
                                    <w:t>D’ici à 2023, donner à tous les enfants de Sao Tomé-et-Principe un accès universel, obligatoire, inclusif, équitable et gratuit à l’enseignement préscolaire (4 à 5 ans)</w:t>
                                  </w:r>
                                </w:p>
                              </w:tc>
                              <w:tc>
                                <w:tcPr>
                                  <w:tcW w:w="2378" w:type="dxa"/>
                                  <w:shd w:val="clear" w:color="auto" w:fill="F9F4F9"/>
                                  <w:vAlign w:val="center"/>
                                </w:tcPr>
                                <w:p w:rsidR="00673A70" w:rsidRDefault="00673A70" w:rsidP="006C5266">
                                  <w:pPr>
                                    <w:pStyle w:val="TableParagraph"/>
                                    <w:ind w:left="113"/>
                                    <w:rPr>
                                      <w:sz w:val="18"/>
                                    </w:rPr>
                                  </w:pPr>
                                  <w:r>
                                    <w:rPr>
                                      <w:color w:val="57585B"/>
                                      <w:sz w:val="18"/>
                                      <w:lang w:bidi="fr-FR"/>
                                    </w:rPr>
                                    <w:t>Taux net de scolarisation dans l’enseignement préscolaire (4 à 5 ans)</w:t>
                                  </w:r>
                                </w:p>
                              </w:tc>
                              <w:tc>
                                <w:tcPr>
                                  <w:tcW w:w="2409" w:type="dxa"/>
                                  <w:shd w:val="clear" w:color="auto" w:fill="F9F4F9"/>
                                  <w:vAlign w:val="center"/>
                                </w:tcPr>
                                <w:p w:rsidR="00673A70" w:rsidRDefault="00673A70" w:rsidP="00673A70">
                                  <w:pPr>
                                    <w:pStyle w:val="TableParagraph"/>
                                    <w:ind w:left="0"/>
                                    <w:jc w:val="center"/>
                                    <w:rPr>
                                      <w:sz w:val="18"/>
                                    </w:rPr>
                                  </w:pPr>
                                  <w:r>
                                    <w:rPr>
                                      <w:color w:val="57585B"/>
                                      <w:sz w:val="18"/>
                                      <w:lang w:bidi="fr-FR"/>
                                    </w:rPr>
                                    <w:t>78,6 %</w:t>
                                  </w:r>
                                </w:p>
                              </w:tc>
                              <w:tc>
                                <w:tcPr>
                                  <w:tcW w:w="2410" w:type="dxa"/>
                                  <w:tcBorders>
                                    <w:right w:val="nil"/>
                                  </w:tcBorders>
                                  <w:shd w:val="clear" w:color="auto" w:fill="F9F4F9"/>
                                  <w:vAlign w:val="center"/>
                                </w:tcPr>
                                <w:p w:rsidR="00673A70" w:rsidRDefault="00673A70" w:rsidP="00673A70">
                                  <w:pPr>
                                    <w:pStyle w:val="TableParagraph"/>
                                    <w:ind w:left="0"/>
                                    <w:jc w:val="center"/>
                                    <w:rPr>
                                      <w:sz w:val="18"/>
                                    </w:rPr>
                                  </w:pPr>
                                  <w:r>
                                    <w:rPr>
                                      <w:color w:val="57585B"/>
                                      <w:sz w:val="18"/>
                                      <w:lang w:bidi="fr-FR"/>
                                    </w:rPr>
                                    <w:t>95 %</w:t>
                                  </w:r>
                                </w:p>
                              </w:tc>
                            </w:tr>
                          </w:tbl>
                          <w:p w:rsidR="00673A70" w:rsidRDefault="00673A70" w:rsidP="00AE0409">
                            <w:pPr>
                              <w:pStyle w:val="Textoindependiente"/>
                              <w:spacing w:before="153"/>
                              <w:ind w:right="1015" w:firstLine="454"/>
                            </w:pPr>
                            <w:r>
                              <w:rPr>
                                <w:color w:val="58595B"/>
                                <w:lang w:bidi="fr-FR"/>
                              </w:rPr>
                              <w:t>Les mêmes chiffres de référence présentés dans la liste de contrôle sont utilisés dans l’exemple ci-dessous :</w:t>
                            </w:r>
                          </w:p>
                          <w:p w:rsidR="00673A70" w:rsidRDefault="00673A70" w:rsidP="00673A70">
                            <w:pPr>
                              <w:pStyle w:val="Prrafodelista"/>
                              <w:numPr>
                                <w:ilvl w:val="1"/>
                                <w:numId w:val="1"/>
                              </w:numPr>
                              <w:tabs>
                                <w:tab w:val="left" w:pos="1021"/>
                              </w:tabs>
                              <w:spacing w:line="292" w:lineRule="auto"/>
                              <w:ind w:left="851" w:right="1015" w:hanging="397"/>
                              <w:jc w:val="both"/>
                              <w:rPr>
                                <w:sz w:val="20"/>
                              </w:rPr>
                            </w:pPr>
                            <w:r>
                              <w:rPr>
                                <w:color w:val="58595B"/>
                                <w:sz w:val="20"/>
                                <w:lang w:bidi="fr-FR"/>
                              </w:rPr>
                              <w:t xml:space="preserve">La cible est d’atteindre un taux net de scolarisation de 95 % d’ici à 2023. Il est difficile d’atteindre une scolarisation universelle (100 %) en 4 ans, donc l’indicateur de la cible est réaliste (augmentation de 16 points en 4 ans d’ici à 2022). Il est temporellement défini (la cible doit être atteinte d’ici à 2022) et la performance au regard des cibles sera suivie chaque année en utilisant des projections démographiques et des données du SIGE. Les écarts entre les réalisations et les cibles seront expliqués lors de la </w:t>
                            </w:r>
                            <w:r>
                              <w:rPr>
                                <w:color w:val="58595B"/>
                                <w:sz w:val="20"/>
                                <w:u w:val="single" w:color="58595B"/>
                                <w:lang w:bidi="fr-FR"/>
                              </w:rPr>
                              <w:t>revue sectorielle conjointe</w:t>
                            </w:r>
                            <w:r>
                              <w:rPr>
                                <w:color w:val="58595B"/>
                                <w:sz w:val="20"/>
                                <w:lang w:bidi="fr-FR"/>
                              </w:rPr>
                              <w:t xml:space="preserve"> et dans le rapport de performance annuel. Plusieurs solutions devraient être proposées pour relever les défis identifiés qui empêchent d’atteindre les cibles.</w:t>
                            </w:r>
                          </w:p>
                          <w:p w:rsidR="00673A70" w:rsidRDefault="00673A70" w:rsidP="00673A70">
                            <w:pPr>
                              <w:pStyle w:val="Prrafodelista"/>
                              <w:numPr>
                                <w:ilvl w:val="1"/>
                                <w:numId w:val="1"/>
                              </w:numPr>
                              <w:tabs>
                                <w:tab w:val="left" w:pos="1020"/>
                                <w:tab w:val="left" w:pos="1021"/>
                              </w:tabs>
                              <w:spacing w:before="133"/>
                              <w:ind w:left="851" w:right="1015" w:hanging="397"/>
                              <w:rPr>
                                <w:sz w:val="20"/>
                              </w:rPr>
                            </w:pPr>
                            <w:r>
                              <w:rPr>
                                <w:color w:val="58595B"/>
                                <w:sz w:val="20"/>
                                <w:lang w:bidi="fr-FR"/>
                              </w:rPr>
                              <w:t>La cible a été définie dans le cadre d’une approche collaborative avec le groupe de travail technique sur l’EPE. Toutefois, aucune information détaillée n’était disponible sur la manière dont les données de simulation</w:t>
                            </w:r>
                          </w:p>
                          <w:p w:rsidR="00673A70" w:rsidRDefault="00673A70" w:rsidP="00855F53">
                            <w:pPr>
                              <w:pStyle w:val="Textoindependiente"/>
                              <w:spacing w:before="50"/>
                              <w:ind w:left="851" w:right="1015"/>
                            </w:pPr>
                            <w:r>
                              <w:rPr>
                                <w:color w:val="58595B"/>
                                <w:lang w:bidi="fr-FR"/>
                              </w:rPr>
                              <w:t>ont été utilisées pour déterminer la cible.</w:t>
                            </w:r>
                          </w:p>
                          <w:p w:rsidR="00673A70" w:rsidRDefault="00673A70" w:rsidP="00673A70">
                            <w:pPr>
                              <w:pStyle w:val="Prrafodelista"/>
                              <w:numPr>
                                <w:ilvl w:val="1"/>
                                <w:numId w:val="1"/>
                              </w:numPr>
                              <w:tabs>
                                <w:tab w:val="left" w:pos="1020"/>
                                <w:tab w:val="left" w:pos="1022"/>
                              </w:tabs>
                              <w:ind w:left="851" w:right="1015" w:hanging="397"/>
                              <w:rPr>
                                <w:sz w:val="20"/>
                              </w:rPr>
                            </w:pPr>
                            <w:r>
                              <w:rPr>
                                <w:color w:val="58595B"/>
                                <w:sz w:val="20"/>
                                <w:lang w:bidi="fr-FR"/>
                              </w:rPr>
                              <w:t>La cible est fondée sur des données probantes, puisqu’elle a été validée suite à l’identification des réalisations d’autres pays.</w:t>
                            </w:r>
                          </w:p>
                          <w:p w:rsidR="00673A70" w:rsidRDefault="00673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1B06F" id="_x0000_t202" coordsize="21600,21600" o:spt="202" path="m,l,21600r21600,l21600,xe">
                <v:stroke joinstyle="miter"/>
                <v:path gradientshapeok="t" o:connecttype="rect"/>
              </v:shapetype>
              <v:shape id="Cuadro de texto 14" o:spid="_x0000_s1026" type="#_x0000_t202" style="position:absolute;margin-left:6.05pt;margin-top:10pt;width:681.6pt;height:3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" fillcolor="#f2f2f2 [3052]" stroked="f" strokeweight=".5pt">
                <v:textbox>
                  <w:txbxContent>
                    <w:p w:rsidR="00673A70" w:rsidRDefault="00FA115F" w:rsidP="00FA115F">
                      <w:pPr>
                        <w:pStyle w:val="Textoindependiente"/>
                        <w:spacing w:before="166"/>
                        <w:ind w:left="426"/>
                      </w:pPr>
                      <w:r>
                        <w:rPr>
                          <w:noProof/>
                          <w:position w:val="-3"/>
                          <w:lang w:bidi="fr-FR"/>
                        </w:rPr>
                        <w:drawing>
                          <wp:inline distT="0" distB="0" distL="0" distR="0" wp14:anchorId="5A5D1CDC" wp14:editId="41291331">
                            <wp:extent cx="527977" cy="138279"/>
                            <wp:effectExtent l="0" t="0" r="0" b="1905"/>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0">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color w:val="58595B"/>
                          <w:lang w:bidi="fr-FR"/>
                        </w:rPr>
                        <w:t xml:space="preserve"> </w:t>
                      </w:r>
                      <w:r w:rsidR="00673A70">
                        <w:rPr>
                          <w:color w:val="58595B"/>
                          <w:lang w:bidi="fr-FR"/>
                        </w:rPr>
                        <w:t>L’exemple de Sao Tomé-et-Principe ci-dessous illustre la manière dont on peut utiliser la liste de contrôle.</w:t>
                      </w:r>
                    </w:p>
                    <w:p w:rsidR="00673A70" w:rsidRDefault="00673A70" w:rsidP="00673A70">
                      <w:pPr>
                        <w:pStyle w:val="Textoindependiente"/>
                        <w:spacing w:before="7"/>
                        <w:rPr>
                          <w:sz w:val="27"/>
                        </w:rPr>
                      </w:pPr>
                    </w:p>
                    <w:tbl>
                      <w:tblPr>
                        <w:tblStyle w:val="TableNormal1"/>
                        <w:tblW w:w="0" w:type="auto"/>
                        <w:tblInd w:w="45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5386"/>
                        <w:gridCol w:w="2378"/>
                        <w:gridCol w:w="2409"/>
                        <w:gridCol w:w="2410"/>
                      </w:tblGrid>
                      <w:tr w:rsidR="00673A70" w:rsidTr="006C5266">
                        <w:trPr>
                          <w:trHeight w:val="355"/>
                        </w:trPr>
                        <w:tc>
                          <w:tcPr>
                            <w:tcW w:w="5386" w:type="dxa"/>
                            <w:tcBorders>
                              <w:left w:val="nil"/>
                            </w:tcBorders>
                            <w:shd w:val="clear" w:color="auto" w:fill="F9F4F9"/>
                          </w:tcPr>
                          <w:p w:rsidR="00673A70" w:rsidRDefault="00673A70" w:rsidP="00673A70">
                            <w:pPr>
                              <w:pStyle w:val="TableParagraph"/>
                              <w:spacing w:before="74"/>
                              <w:ind w:left="0"/>
                              <w:jc w:val="center"/>
                              <w:rPr>
                                <w:b/>
                                <w:sz w:val="18"/>
                              </w:rPr>
                            </w:pPr>
                            <w:r>
                              <w:rPr>
                                <w:b/>
                                <w:color w:val="58595B"/>
                                <w:sz w:val="18"/>
                                <w:lang w:bidi="fr-FR"/>
                              </w:rPr>
                              <w:t>Politique stratégique</w:t>
                            </w:r>
                          </w:p>
                        </w:tc>
                        <w:tc>
                          <w:tcPr>
                            <w:tcW w:w="2378" w:type="dxa"/>
                            <w:shd w:val="clear" w:color="auto" w:fill="F9F4F9"/>
                          </w:tcPr>
                          <w:p w:rsidR="00673A70" w:rsidRDefault="00673A70" w:rsidP="00673A70">
                            <w:pPr>
                              <w:pStyle w:val="TableParagraph"/>
                              <w:spacing w:before="74"/>
                              <w:ind w:left="0"/>
                              <w:jc w:val="center"/>
                              <w:rPr>
                                <w:b/>
                                <w:sz w:val="18"/>
                              </w:rPr>
                            </w:pPr>
                            <w:r>
                              <w:rPr>
                                <w:b/>
                                <w:color w:val="58595B"/>
                                <w:sz w:val="18"/>
                                <w:lang w:bidi="fr-FR"/>
                              </w:rPr>
                              <w:t>Indicateur</w:t>
                            </w:r>
                          </w:p>
                        </w:tc>
                        <w:tc>
                          <w:tcPr>
                            <w:tcW w:w="2409" w:type="dxa"/>
                            <w:shd w:val="clear" w:color="auto" w:fill="F9F4F9"/>
                          </w:tcPr>
                          <w:p w:rsidR="00673A70" w:rsidRDefault="00673A70" w:rsidP="00673A70">
                            <w:pPr>
                              <w:pStyle w:val="TableParagraph"/>
                              <w:spacing w:before="74"/>
                              <w:ind w:left="0"/>
                              <w:jc w:val="center"/>
                              <w:rPr>
                                <w:b/>
                                <w:sz w:val="18"/>
                              </w:rPr>
                            </w:pPr>
                            <w:r>
                              <w:rPr>
                                <w:b/>
                                <w:color w:val="58595B"/>
                                <w:sz w:val="18"/>
                                <w:lang w:bidi="fr-FR"/>
                              </w:rPr>
                              <w:t>Donnée(s) de référence (2019)</w:t>
                            </w:r>
                          </w:p>
                        </w:tc>
                        <w:tc>
                          <w:tcPr>
                            <w:tcW w:w="2410" w:type="dxa"/>
                            <w:tcBorders>
                              <w:right w:val="nil"/>
                            </w:tcBorders>
                            <w:shd w:val="clear" w:color="auto" w:fill="F9F4F9"/>
                          </w:tcPr>
                          <w:p w:rsidR="00673A70" w:rsidRDefault="00673A70" w:rsidP="00673A70">
                            <w:pPr>
                              <w:pStyle w:val="TableParagraph"/>
                              <w:spacing w:before="74"/>
                              <w:ind w:left="0"/>
                              <w:jc w:val="center"/>
                              <w:rPr>
                                <w:b/>
                                <w:sz w:val="18"/>
                              </w:rPr>
                            </w:pPr>
                            <w:r>
                              <w:rPr>
                                <w:b/>
                                <w:color w:val="58595B"/>
                                <w:sz w:val="18"/>
                                <w:lang w:bidi="fr-FR"/>
                              </w:rPr>
                              <w:t>Cible (2022)</w:t>
                            </w:r>
                          </w:p>
                        </w:tc>
                      </w:tr>
                      <w:tr w:rsidR="00673A70" w:rsidTr="006C5266">
                        <w:trPr>
                          <w:trHeight w:val="864"/>
                        </w:trPr>
                        <w:tc>
                          <w:tcPr>
                            <w:tcW w:w="5386" w:type="dxa"/>
                            <w:tcBorders>
                              <w:left w:val="nil"/>
                            </w:tcBorders>
                            <w:shd w:val="clear" w:color="auto" w:fill="F9F4F9"/>
                          </w:tcPr>
                          <w:p w:rsidR="00673A70" w:rsidRDefault="00673A70" w:rsidP="00673A70">
                            <w:pPr>
                              <w:pStyle w:val="TableParagraph"/>
                              <w:spacing w:before="89" w:line="278" w:lineRule="auto"/>
                              <w:ind w:left="3"/>
                              <w:rPr>
                                <w:b/>
                                <w:sz w:val="18"/>
                              </w:rPr>
                            </w:pPr>
                            <w:r>
                              <w:rPr>
                                <w:b/>
                                <w:color w:val="58595B"/>
                                <w:sz w:val="18"/>
                                <w:lang w:bidi="fr-FR"/>
                              </w:rPr>
                              <w:t>D’ici à 2023, donner à tous les enfants de Sao Tomé-et-Principe un accès universel, obligatoire, inclusif, équitable et gratuit à l’enseignement préscolaire (4 à 5 ans)</w:t>
                            </w:r>
                          </w:p>
                        </w:tc>
                        <w:tc>
                          <w:tcPr>
                            <w:tcW w:w="2378" w:type="dxa"/>
                            <w:shd w:val="clear" w:color="auto" w:fill="F9F4F9"/>
                            <w:vAlign w:val="center"/>
                          </w:tcPr>
                          <w:p w:rsidR="00673A70" w:rsidRDefault="00673A70" w:rsidP="006C5266">
                            <w:pPr>
                              <w:pStyle w:val="TableParagraph"/>
                              <w:ind w:left="113"/>
                              <w:rPr>
                                <w:sz w:val="18"/>
                              </w:rPr>
                            </w:pPr>
                            <w:r>
                              <w:rPr>
                                <w:color w:val="57585B"/>
                                <w:sz w:val="18"/>
                                <w:lang w:bidi="fr-FR"/>
                              </w:rPr>
                              <w:t>Taux net de scolarisation dans l’enseignement préscolaire (4 à 5 ans)</w:t>
                            </w:r>
                          </w:p>
                        </w:tc>
                        <w:tc>
                          <w:tcPr>
                            <w:tcW w:w="2409" w:type="dxa"/>
                            <w:shd w:val="clear" w:color="auto" w:fill="F9F4F9"/>
                            <w:vAlign w:val="center"/>
                          </w:tcPr>
                          <w:p w:rsidR="00673A70" w:rsidRDefault="00673A70" w:rsidP="00673A70">
                            <w:pPr>
                              <w:pStyle w:val="TableParagraph"/>
                              <w:ind w:left="0"/>
                              <w:jc w:val="center"/>
                              <w:rPr>
                                <w:sz w:val="18"/>
                              </w:rPr>
                            </w:pPr>
                            <w:r>
                              <w:rPr>
                                <w:color w:val="57585B"/>
                                <w:sz w:val="18"/>
                                <w:lang w:bidi="fr-FR"/>
                              </w:rPr>
                              <w:t>78,6 %</w:t>
                            </w:r>
                          </w:p>
                        </w:tc>
                        <w:tc>
                          <w:tcPr>
                            <w:tcW w:w="2410" w:type="dxa"/>
                            <w:tcBorders>
                              <w:right w:val="nil"/>
                            </w:tcBorders>
                            <w:shd w:val="clear" w:color="auto" w:fill="F9F4F9"/>
                            <w:vAlign w:val="center"/>
                          </w:tcPr>
                          <w:p w:rsidR="00673A70" w:rsidRDefault="00673A70" w:rsidP="00673A70">
                            <w:pPr>
                              <w:pStyle w:val="TableParagraph"/>
                              <w:ind w:left="0"/>
                              <w:jc w:val="center"/>
                              <w:rPr>
                                <w:sz w:val="18"/>
                              </w:rPr>
                            </w:pPr>
                            <w:r>
                              <w:rPr>
                                <w:color w:val="57585B"/>
                                <w:sz w:val="18"/>
                                <w:lang w:bidi="fr-FR"/>
                              </w:rPr>
                              <w:t>95 %</w:t>
                            </w:r>
                          </w:p>
                        </w:tc>
                      </w:tr>
                    </w:tbl>
                    <w:p w:rsidR="00673A70" w:rsidRDefault="00673A70" w:rsidP="00AE0409">
                      <w:pPr>
                        <w:pStyle w:val="Textoindependiente"/>
                        <w:spacing w:before="153"/>
                        <w:ind w:right="1015" w:firstLine="454"/>
                      </w:pPr>
                      <w:r>
                        <w:rPr>
                          <w:color w:val="58595B"/>
                          <w:lang w:bidi="fr-FR"/>
                        </w:rPr>
                        <w:t>Les mêmes chiffres de référence présentés dans la liste de contrôle sont utilisés dans l’exemple ci-dessous :</w:t>
                      </w:r>
                    </w:p>
                    <w:p w:rsidR="00673A70" w:rsidRDefault="00673A70" w:rsidP="00673A70">
                      <w:pPr>
                        <w:pStyle w:val="Prrafodelista"/>
                        <w:numPr>
                          <w:ilvl w:val="1"/>
                          <w:numId w:val="1"/>
                        </w:numPr>
                        <w:tabs>
                          <w:tab w:val="left" w:pos="1021"/>
                        </w:tabs>
                        <w:spacing w:line="292" w:lineRule="auto"/>
                        <w:ind w:left="851" w:right="1015" w:hanging="397"/>
                        <w:jc w:val="both"/>
                        <w:rPr>
                          <w:sz w:val="20"/>
                        </w:rPr>
                      </w:pPr>
                      <w:r>
                        <w:rPr>
                          <w:color w:val="58595B"/>
                          <w:sz w:val="20"/>
                          <w:lang w:bidi="fr-FR"/>
                        </w:rPr>
                        <w:t xml:space="preserve">La cible est d’atteindre un taux net de scolarisation de 95 % d’ici à 2023. Il est difficile d’atteindre une scolarisation universelle (100 %) en 4 ans, donc l’indicateur de la cible est réaliste (augmentation de 16 points en 4 ans d’ici à 2022). Il est temporellement défini (la cible doit être atteinte d’ici à 2022) et la performance au regard des cibles sera suivie chaque année en utilisant des projections démographiques et des données du SIGE. Les écarts entre les réalisations et les cibles seront expliqués lors de la </w:t>
                      </w:r>
                      <w:r>
                        <w:rPr>
                          <w:color w:val="58595B"/>
                          <w:sz w:val="20"/>
                          <w:u w:val="single" w:color="58595B"/>
                          <w:lang w:bidi="fr-FR"/>
                        </w:rPr>
                        <w:t>revue sectorielle conjointe</w:t>
                      </w:r>
                      <w:r>
                        <w:rPr>
                          <w:color w:val="58595B"/>
                          <w:sz w:val="20"/>
                          <w:lang w:bidi="fr-FR"/>
                        </w:rPr>
                        <w:t xml:space="preserve"> et dans le rapport de performance annuel. Plusieurs solutions devraient être proposées pour relever les défis identifiés qui empêchent d’atteindre les cibles.</w:t>
                      </w:r>
                    </w:p>
                    <w:p w:rsidR="00673A70" w:rsidRDefault="00673A70" w:rsidP="00673A70">
                      <w:pPr>
                        <w:pStyle w:val="Prrafodelista"/>
                        <w:numPr>
                          <w:ilvl w:val="1"/>
                          <w:numId w:val="1"/>
                        </w:numPr>
                        <w:tabs>
                          <w:tab w:val="left" w:pos="1020"/>
                          <w:tab w:val="left" w:pos="1021"/>
                        </w:tabs>
                        <w:spacing w:before="133"/>
                        <w:ind w:left="851" w:right="1015" w:hanging="397"/>
                        <w:rPr>
                          <w:sz w:val="20"/>
                        </w:rPr>
                      </w:pPr>
                      <w:r>
                        <w:rPr>
                          <w:color w:val="58595B"/>
                          <w:sz w:val="20"/>
                          <w:lang w:bidi="fr-FR"/>
                        </w:rPr>
                        <w:t>La cible a été définie dans le cadre d’une approche collaborative avec le groupe de travail technique sur l’EPE. Toutefois, aucune information détaillée n’était disponible sur la manière dont les données de simulation</w:t>
                      </w:r>
                    </w:p>
                    <w:p w:rsidR="00673A70" w:rsidRDefault="00673A70" w:rsidP="00855F53">
                      <w:pPr>
                        <w:pStyle w:val="Textoindependiente"/>
                        <w:spacing w:before="50"/>
                        <w:ind w:left="851" w:right="1015"/>
                      </w:pPr>
                      <w:r>
                        <w:rPr>
                          <w:color w:val="58595B"/>
                          <w:lang w:bidi="fr-FR"/>
                        </w:rPr>
                        <w:t>ont été utilisées pour déterminer la cible.</w:t>
                      </w:r>
                    </w:p>
                    <w:p w:rsidR="00673A70" w:rsidRDefault="00673A70" w:rsidP="00673A70">
                      <w:pPr>
                        <w:pStyle w:val="Prrafodelista"/>
                        <w:numPr>
                          <w:ilvl w:val="1"/>
                          <w:numId w:val="1"/>
                        </w:numPr>
                        <w:tabs>
                          <w:tab w:val="left" w:pos="1020"/>
                          <w:tab w:val="left" w:pos="1022"/>
                        </w:tabs>
                        <w:ind w:left="851" w:right="1015" w:hanging="397"/>
                        <w:rPr>
                          <w:sz w:val="20"/>
                        </w:rPr>
                      </w:pPr>
                      <w:r>
                        <w:rPr>
                          <w:color w:val="58595B"/>
                          <w:sz w:val="20"/>
                          <w:lang w:bidi="fr-FR"/>
                        </w:rPr>
                        <w:t>La cible est fondée sur des données probantes, puisqu’elle a été validée suite à l’identification des réalisations d’autres pays.</w:t>
                      </w:r>
                    </w:p>
                    <w:p w:rsidR="00673A70" w:rsidRDefault="00673A70"/>
                  </w:txbxContent>
                </v:textbox>
              </v:shape>
            </w:pict>
          </mc:Fallback>
        </mc:AlternateContent>
      </w:r>
    </w:p>
    <w:sectPr w:rsidR="00C3075C">
      <w:headerReference w:type="default" r:id="rId25"/>
      <w:pgSz w:w="15840" w:h="12240" w:orient="landscape"/>
      <w:pgMar w:top="520" w:right="48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E92" w:rsidRDefault="00551E92">
      <w:r>
        <w:separator/>
      </w:r>
    </w:p>
  </w:endnote>
  <w:endnote w:type="continuationSeparator" w:id="0">
    <w:p w:rsidR="00551E92" w:rsidRDefault="00551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E92" w:rsidRDefault="00551E92">
      <w:r>
        <w:separator/>
      </w:r>
    </w:p>
  </w:footnote>
  <w:footnote w:type="continuationSeparator" w:id="0">
    <w:p w:rsidR="00551E92" w:rsidRDefault="00551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75C" w:rsidRDefault="00EC24B8">
    <w:pPr>
      <w:pStyle w:val="Textoindependiente"/>
      <w:spacing w:line="14" w:lineRule="auto"/>
    </w:pPr>
    <w:r>
      <w:rPr>
        <w:noProof/>
        <w:lang w:bidi="fr-FR"/>
      </w:rPr>
      <mc:AlternateContent>
        <mc:Choice Requires="wps">
          <w:drawing>
            <wp:anchor distT="0" distB="0" distL="114300" distR="114300" simplePos="0" relativeHeight="251657728" behindDoc="1" locked="0" layoutInCell="1" allowOverlap="1" wp14:anchorId="45A25C69">
              <wp:simplePos x="0" y="0"/>
              <wp:positionH relativeFrom="page">
                <wp:posOffset>12301855</wp:posOffset>
              </wp:positionH>
              <wp:positionV relativeFrom="page">
                <wp:posOffset>363220</wp:posOffset>
              </wp:positionV>
              <wp:extent cx="107315" cy="139065"/>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075C" w:rsidRDefault="0081041E">
                          <w:pPr>
                            <w:spacing w:before="14"/>
                            <w:ind w:left="40"/>
                            <w:rPr>
                              <w:sz w:val="16"/>
                            </w:rPr>
                          </w:pPr>
                          <w:r>
                            <w:rPr>
                              <w:lang w:bidi="fr-FR"/>
                            </w:rPr>
                            <w:fldChar w:fldCharType="begin"/>
                          </w:r>
                          <w:r>
                            <w:rPr>
                              <w:color w:val="808285"/>
                              <w:sz w:val="16"/>
                              <w:lang w:bidi="fr-FR"/>
                            </w:rPr>
                            <w:instrText xml:space="preserve"> PAGE </w:instrText>
                          </w:r>
                          <w:r>
                            <w:rPr>
                              <w:lang w:bidi="fr-FR"/>
                            </w:rPr>
                            <w:fldChar w:fldCharType="separate"/>
                          </w:r>
                          <w:r>
                            <w:rPr>
                              <w:lang w:bidi="fr-FR"/>
                            </w:rPr>
                            <w:t>1</w:t>
                          </w:r>
                          <w:r>
                            <w:rPr>
                              <w:lang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25C69" id="_x0000_t202" coordsize="21600,21600" o:spt="202" path="m,l,21600r21600,l21600,xe">
              <v:stroke joinstyle="miter"/>
              <v:path gradientshapeok="t" o:connecttype="rect"/>
            </v:shapetype>
            <v:shape id="Text Box 1" o:spid="_x0000_s1027" type="#_x0000_t202" style="position:absolute;margin-left:968.65pt;margin-top:28.6pt;width:8.4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" filled="f" stroked="f">
              <v:path arrowok="t"/>
              <v:textbox inset="0,0,0,0">
                <w:txbxContent>
                  <w:p w:rsidR="00C3075C" w:rsidRDefault="0081041E">
                    <w:pPr>
                      <w:spacing w:before="14"/>
                      <w:ind w:left="40"/>
                      <w:rPr>
                        <w:sz w:val="16"/>
                      </w:rPr>
                    </w:pPr>
                    <w:r>
                      <w:rPr>
                        <w:lang w:bidi="fr-FR"/>
                      </w:rPr>
                      <w:fldChar w:fldCharType="begin"/>
                    </w:r>
                    <w:r>
                      <w:rPr>
                        <w:color w:val="808285"/>
                        <w:sz w:val="16"/>
                        <w:lang w:bidi="fr-FR"/>
                      </w:rPr>
                      <w:instrText xml:space="preserve"> PAGE </w:instrText>
                    </w:r>
                    <w:r>
                      <w:rPr>
                        <w:lang w:bidi="fr-FR"/>
                      </w:rPr>
                      <w:fldChar w:fldCharType="separate"/>
                    </w:r>
                    <w:r>
                      <w:rPr>
                        <w:lang w:bidi="fr-FR"/>
                      </w:rPr>
                      <w:t>1</w:t>
                    </w:r>
                    <w:r>
                      <w:rPr>
                        <w:lang w:bidi="fr-FR"/>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75C" w:rsidRDefault="00C3075C">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7" type="#_x0000_t75" style="width:19pt;height:19pt;visibility:visible;mso-wrap-style:square" o:bullet="t">
        <v:imagedata r:id="rId1" o:title=""/>
      </v:shape>
    </w:pict>
  </w:numPicBullet>
  <w:abstractNum w:abstractNumId="0" w15:restartNumberingAfterBreak="0">
    <w:nsid w:val="00091417"/>
    <w:multiLevelType w:val="hybridMultilevel"/>
    <w:tmpl w:val="B1E63476"/>
    <w:lvl w:ilvl="0" w:tplc="1CE27DEA">
      <w:numFmt w:val="bullet"/>
      <w:lvlText w:val="•"/>
      <w:lvlJc w:val="left"/>
      <w:pPr>
        <w:ind w:left="528" w:hanging="360"/>
      </w:pPr>
      <w:rPr>
        <w:rFonts w:ascii="Arial" w:eastAsia="Arial" w:hAnsi="Arial" w:cs="Arial" w:hint="default"/>
        <w:color w:val="57585B"/>
        <w:w w:val="100"/>
        <w:sz w:val="18"/>
        <w:szCs w:val="18"/>
        <w:lang w:val="en-US" w:eastAsia="en-US" w:bidi="en-US"/>
      </w:rPr>
    </w:lvl>
    <w:lvl w:ilvl="1" w:tplc="0158EB38">
      <w:numFmt w:val="bullet"/>
      <w:lvlText w:val="•"/>
      <w:lvlJc w:val="left"/>
      <w:pPr>
        <w:ind w:left="1028" w:hanging="360"/>
      </w:pPr>
      <w:rPr>
        <w:rFonts w:hint="default"/>
        <w:lang w:val="en-US" w:eastAsia="en-US" w:bidi="en-US"/>
      </w:rPr>
    </w:lvl>
    <w:lvl w:ilvl="2" w:tplc="5DF85632">
      <w:numFmt w:val="bullet"/>
      <w:lvlText w:val="•"/>
      <w:lvlJc w:val="left"/>
      <w:pPr>
        <w:ind w:left="1536" w:hanging="360"/>
      </w:pPr>
      <w:rPr>
        <w:rFonts w:hint="default"/>
        <w:lang w:val="en-US" w:eastAsia="en-US" w:bidi="en-US"/>
      </w:rPr>
    </w:lvl>
    <w:lvl w:ilvl="3" w:tplc="19B6B6FE">
      <w:numFmt w:val="bullet"/>
      <w:lvlText w:val="•"/>
      <w:lvlJc w:val="left"/>
      <w:pPr>
        <w:ind w:left="2044" w:hanging="360"/>
      </w:pPr>
      <w:rPr>
        <w:rFonts w:hint="default"/>
        <w:lang w:val="en-US" w:eastAsia="en-US" w:bidi="en-US"/>
      </w:rPr>
    </w:lvl>
    <w:lvl w:ilvl="4" w:tplc="CAFE1140">
      <w:numFmt w:val="bullet"/>
      <w:lvlText w:val="•"/>
      <w:lvlJc w:val="left"/>
      <w:pPr>
        <w:ind w:left="2553" w:hanging="360"/>
      </w:pPr>
      <w:rPr>
        <w:rFonts w:hint="default"/>
        <w:lang w:val="en-US" w:eastAsia="en-US" w:bidi="en-US"/>
      </w:rPr>
    </w:lvl>
    <w:lvl w:ilvl="5" w:tplc="082CDF92">
      <w:numFmt w:val="bullet"/>
      <w:lvlText w:val="•"/>
      <w:lvlJc w:val="left"/>
      <w:pPr>
        <w:ind w:left="3061" w:hanging="360"/>
      </w:pPr>
      <w:rPr>
        <w:rFonts w:hint="default"/>
        <w:lang w:val="en-US" w:eastAsia="en-US" w:bidi="en-US"/>
      </w:rPr>
    </w:lvl>
    <w:lvl w:ilvl="6" w:tplc="684EDA1C">
      <w:numFmt w:val="bullet"/>
      <w:lvlText w:val="•"/>
      <w:lvlJc w:val="left"/>
      <w:pPr>
        <w:ind w:left="3569" w:hanging="360"/>
      </w:pPr>
      <w:rPr>
        <w:rFonts w:hint="default"/>
        <w:lang w:val="en-US" w:eastAsia="en-US" w:bidi="en-US"/>
      </w:rPr>
    </w:lvl>
    <w:lvl w:ilvl="7" w:tplc="07628B22">
      <w:numFmt w:val="bullet"/>
      <w:lvlText w:val="•"/>
      <w:lvlJc w:val="left"/>
      <w:pPr>
        <w:ind w:left="4078" w:hanging="360"/>
      </w:pPr>
      <w:rPr>
        <w:rFonts w:hint="default"/>
        <w:lang w:val="en-US" w:eastAsia="en-US" w:bidi="en-US"/>
      </w:rPr>
    </w:lvl>
    <w:lvl w:ilvl="8" w:tplc="11FA28E0">
      <w:numFmt w:val="bullet"/>
      <w:lvlText w:val="•"/>
      <w:lvlJc w:val="left"/>
      <w:pPr>
        <w:ind w:left="4586" w:hanging="360"/>
      </w:pPr>
      <w:rPr>
        <w:rFonts w:hint="default"/>
        <w:lang w:val="en-US" w:eastAsia="en-US" w:bidi="en-US"/>
      </w:rPr>
    </w:lvl>
  </w:abstractNum>
  <w:abstractNum w:abstractNumId="1" w15:restartNumberingAfterBreak="0">
    <w:nsid w:val="05331FC8"/>
    <w:multiLevelType w:val="hybridMultilevel"/>
    <w:tmpl w:val="D6C01888"/>
    <w:lvl w:ilvl="0" w:tplc="753ACC0E">
      <w:numFmt w:val="bullet"/>
      <w:lvlText w:val="•"/>
      <w:lvlJc w:val="left"/>
      <w:pPr>
        <w:ind w:left="527" w:hanging="360"/>
      </w:pPr>
      <w:rPr>
        <w:rFonts w:ascii="Arial" w:eastAsia="Arial" w:hAnsi="Arial" w:cs="Arial" w:hint="default"/>
        <w:b/>
        <w:bCs/>
        <w:color w:val="57585B"/>
        <w:spacing w:val="-10"/>
        <w:w w:val="100"/>
        <w:sz w:val="18"/>
        <w:szCs w:val="18"/>
        <w:lang w:val="en-US" w:eastAsia="en-US" w:bidi="en-US"/>
      </w:rPr>
    </w:lvl>
    <w:lvl w:ilvl="1" w:tplc="CBE23038">
      <w:numFmt w:val="bullet"/>
      <w:lvlText w:val="•"/>
      <w:lvlJc w:val="left"/>
      <w:pPr>
        <w:ind w:left="1331" w:hanging="360"/>
      </w:pPr>
      <w:rPr>
        <w:rFonts w:hint="default"/>
        <w:lang w:val="en-US" w:eastAsia="en-US" w:bidi="en-US"/>
      </w:rPr>
    </w:lvl>
    <w:lvl w:ilvl="2" w:tplc="3A7E8672">
      <w:numFmt w:val="bullet"/>
      <w:lvlText w:val="•"/>
      <w:lvlJc w:val="left"/>
      <w:pPr>
        <w:ind w:left="2142" w:hanging="360"/>
      </w:pPr>
      <w:rPr>
        <w:rFonts w:hint="default"/>
        <w:lang w:val="en-US" w:eastAsia="en-US" w:bidi="en-US"/>
      </w:rPr>
    </w:lvl>
    <w:lvl w:ilvl="3" w:tplc="527235A4">
      <w:numFmt w:val="bullet"/>
      <w:lvlText w:val="•"/>
      <w:lvlJc w:val="left"/>
      <w:pPr>
        <w:ind w:left="2953" w:hanging="360"/>
      </w:pPr>
      <w:rPr>
        <w:rFonts w:hint="default"/>
        <w:lang w:val="en-US" w:eastAsia="en-US" w:bidi="en-US"/>
      </w:rPr>
    </w:lvl>
    <w:lvl w:ilvl="4" w:tplc="61C8CA8C">
      <w:numFmt w:val="bullet"/>
      <w:lvlText w:val="•"/>
      <w:lvlJc w:val="left"/>
      <w:pPr>
        <w:ind w:left="3764" w:hanging="360"/>
      </w:pPr>
      <w:rPr>
        <w:rFonts w:hint="default"/>
        <w:lang w:val="en-US" w:eastAsia="en-US" w:bidi="en-US"/>
      </w:rPr>
    </w:lvl>
    <w:lvl w:ilvl="5" w:tplc="FB300154">
      <w:numFmt w:val="bullet"/>
      <w:lvlText w:val="•"/>
      <w:lvlJc w:val="left"/>
      <w:pPr>
        <w:ind w:left="4575" w:hanging="360"/>
      </w:pPr>
      <w:rPr>
        <w:rFonts w:hint="default"/>
        <w:lang w:val="en-US" w:eastAsia="en-US" w:bidi="en-US"/>
      </w:rPr>
    </w:lvl>
    <w:lvl w:ilvl="6" w:tplc="4CAE10F8">
      <w:numFmt w:val="bullet"/>
      <w:lvlText w:val="•"/>
      <w:lvlJc w:val="left"/>
      <w:pPr>
        <w:ind w:left="5386" w:hanging="360"/>
      </w:pPr>
      <w:rPr>
        <w:rFonts w:hint="default"/>
        <w:lang w:val="en-US" w:eastAsia="en-US" w:bidi="en-US"/>
      </w:rPr>
    </w:lvl>
    <w:lvl w:ilvl="7" w:tplc="72746FFA">
      <w:numFmt w:val="bullet"/>
      <w:lvlText w:val="•"/>
      <w:lvlJc w:val="left"/>
      <w:pPr>
        <w:ind w:left="6197" w:hanging="360"/>
      </w:pPr>
      <w:rPr>
        <w:rFonts w:hint="default"/>
        <w:lang w:val="en-US" w:eastAsia="en-US" w:bidi="en-US"/>
      </w:rPr>
    </w:lvl>
    <w:lvl w:ilvl="8" w:tplc="29642D74">
      <w:numFmt w:val="bullet"/>
      <w:lvlText w:val="•"/>
      <w:lvlJc w:val="left"/>
      <w:pPr>
        <w:ind w:left="7008" w:hanging="360"/>
      </w:pPr>
      <w:rPr>
        <w:rFonts w:hint="default"/>
        <w:lang w:val="en-US" w:eastAsia="en-US" w:bidi="en-US"/>
      </w:rPr>
    </w:lvl>
  </w:abstractNum>
  <w:abstractNum w:abstractNumId="2" w15:restartNumberingAfterBreak="0">
    <w:nsid w:val="1A630AF4"/>
    <w:multiLevelType w:val="hybridMultilevel"/>
    <w:tmpl w:val="ECA4CF3A"/>
    <w:lvl w:ilvl="0" w:tplc="7A860A28">
      <w:numFmt w:val="bullet"/>
      <w:lvlText w:val="•"/>
      <w:lvlJc w:val="left"/>
      <w:pPr>
        <w:ind w:left="530" w:hanging="360"/>
      </w:pPr>
      <w:rPr>
        <w:rFonts w:ascii="Arial" w:eastAsia="Arial" w:hAnsi="Arial" w:cs="Arial" w:hint="default"/>
        <w:color w:val="57585B"/>
        <w:w w:val="100"/>
        <w:sz w:val="18"/>
        <w:szCs w:val="18"/>
        <w:lang w:val="en-US" w:eastAsia="en-US" w:bidi="en-US"/>
      </w:rPr>
    </w:lvl>
    <w:lvl w:ilvl="1" w:tplc="F9501D04">
      <w:numFmt w:val="bullet"/>
      <w:lvlText w:val="•"/>
      <w:lvlJc w:val="left"/>
      <w:pPr>
        <w:ind w:left="1046" w:hanging="360"/>
      </w:pPr>
      <w:rPr>
        <w:rFonts w:hint="default"/>
        <w:lang w:val="en-US" w:eastAsia="en-US" w:bidi="en-US"/>
      </w:rPr>
    </w:lvl>
    <w:lvl w:ilvl="2" w:tplc="A8684562">
      <w:numFmt w:val="bullet"/>
      <w:lvlText w:val="•"/>
      <w:lvlJc w:val="left"/>
      <w:pPr>
        <w:ind w:left="1552" w:hanging="360"/>
      </w:pPr>
      <w:rPr>
        <w:rFonts w:hint="default"/>
        <w:lang w:val="en-US" w:eastAsia="en-US" w:bidi="en-US"/>
      </w:rPr>
    </w:lvl>
    <w:lvl w:ilvl="3" w:tplc="4FCEEC42">
      <w:numFmt w:val="bullet"/>
      <w:lvlText w:val="•"/>
      <w:lvlJc w:val="left"/>
      <w:pPr>
        <w:ind w:left="2058" w:hanging="360"/>
      </w:pPr>
      <w:rPr>
        <w:rFonts w:hint="default"/>
        <w:lang w:val="en-US" w:eastAsia="en-US" w:bidi="en-US"/>
      </w:rPr>
    </w:lvl>
    <w:lvl w:ilvl="4" w:tplc="281AC92A">
      <w:numFmt w:val="bullet"/>
      <w:lvlText w:val="•"/>
      <w:lvlJc w:val="left"/>
      <w:pPr>
        <w:ind w:left="2565" w:hanging="360"/>
      </w:pPr>
      <w:rPr>
        <w:rFonts w:hint="default"/>
        <w:lang w:val="en-US" w:eastAsia="en-US" w:bidi="en-US"/>
      </w:rPr>
    </w:lvl>
    <w:lvl w:ilvl="5" w:tplc="FCA62B4C">
      <w:numFmt w:val="bullet"/>
      <w:lvlText w:val="•"/>
      <w:lvlJc w:val="left"/>
      <w:pPr>
        <w:ind w:left="3071" w:hanging="360"/>
      </w:pPr>
      <w:rPr>
        <w:rFonts w:hint="default"/>
        <w:lang w:val="en-US" w:eastAsia="en-US" w:bidi="en-US"/>
      </w:rPr>
    </w:lvl>
    <w:lvl w:ilvl="6" w:tplc="54964F26">
      <w:numFmt w:val="bullet"/>
      <w:lvlText w:val="•"/>
      <w:lvlJc w:val="left"/>
      <w:pPr>
        <w:ind w:left="3577" w:hanging="360"/>
      </w:pPr>
      <w:rPr>
        <w:rFonts w:hint="default"/>
        <w:lang w:val="en-US" w:eastAsia="en-US" w:bidi="en-US"/>
      </w:rPr>
    </w:lvl>
    <w:lvl w:ilvl="7" w:tplc="BAAC0A7E">
      <w:numFmt w:val="bullet"/>
      <w:lvlText w:val="•"/>
      <w:lvlJc w:val="left"/>
      <w:pPr>
        <w:ind w:left="4084" w:hanging="360"/>
      </w:pPr>
      <w:rPr>
        <w:rFonts w:hint="default"/>
        <w:lang w:val="en-US" w:eastAsia="en-US" w:bidi="en-US"/>
      </w:rPr>
    </w:lvl>
    <w:lvl w:ilvl="8" w:tplc="DABE6484">
      <w:numFmt w:val="bullet"/>
      <w:lvlText w:val="•"/>
      <w:lvlJc w:val="left"/>
      <w:pPr>
        <w:ind w:left="4590" w:hanging="360"/>
      </w:pPr>
      <w:rPr>
        <w:rFonts w:hint="default"/>
        <w:lang w:val="en-US" w:eastAsia="en-US" w:bidi="en-US"/>
      </w:rPr>
    </w:lvl>
  </w:abstractNum>
  <w:abstractNum w:abstractNumId="3" w15:restartNumberingAfterBreak="0">
    <w:nsid w:val="1B2103D1"/>
    <w:multiLevelType w:val="hybridMultilevel"/>
    <w:tmpl w:val="55DC3936"/>
    <w:lvl w:ilvl="0" w:tplc="5BFAE0C2">
      <w:numFmt w:val="bullet"/>
      <w:lvlText w:val="•"/>
      <w:lvlJc w:val="left"/>
      <w:pPr>
        <w:ind w:left="530" w:hanging="360"/>
      </w:pPr>
      <w:rPr>
        <w:rFonts w:ascii="Arial" w:eastAsia="Arial" w:hAnsi="Arial" w:cs="Arial" w:hint="default"/>
        <w:color w:val="57585B"/>
        <w:w w:val="100"/>
        <w:sz w:val="18"/>
        <w:szCs w:val="18"/>
        <w:lang w:val="en-US" w:eastAsia="en-US" w:bidi="en-US"/>
      </w:rPr>
    </w:lvl>
    <w:lvl w:ilvl="1" w:tplc="01C66856">
      <w:numFmt w:val="bullet"/>
      <w:lvlText w:val="•"/>
      <w:lvlJc w:val="left"/>
      <w:pPr>
        <w:ind w:left="1046" w:hanging="360"/>
      </w:pPr>
      <w:rPr>
        <w:rFonts w:hint="default"/>
        <w:lang w:val="en-US" w:eastAsia="en-US" w:bidi="en-US"/>
      </w:rPr>
    </w:lvl>
    <w:lvl w:ilvl="2" w:tplc="10F61982">
      <w:numFmt w:val="bullet"/>
      <w:lvlText w:val="•"/>
      <w:lvlJc w:val="left"/>
      <w:pPr>
        <w:ind w:left="1552" w:hanging="360"/>
      </w:pPr>
      <w:rPr>
        <w:rFonts w:hint="default"/>
        <w:lang w:val="en-US" w:eastAsia="en-US" w:bidi="en-US"/>
      </w:rPr>
    </w:lvl>
    <w:lvl w:ilvl="3" w:tplc="F652483A">
      <w:numFmt w:val="bullet"/>
      <w:lvlText w:val="•"/>
      <w:lvlJc w:val="left"/>
      <w:pPr>
        <w:ind w:left="2058" w:hanging="360"/>
      </w:pPr>
      <w:rPr>
        <w:rFonts w:hint="default"/>
        <w:lang w:val="en-US" w:eastAsia="en-US" w:bidi="en-US"/>
      </w:rPr>
    </w:lvl>
    <w:lvl w:ilvl="4" w:tplc="2B7C7E9A">
      <w:numFmt w:val="bullet"/>
      <w:lvlText w:val="•"/>
      <w:lvlJc w:val="left"/>
      <w:pPr>
        <w:ind w:left="2565" w:hanging="360"/>
      </w:pPr>
      <w:rPr>
        <w:rFonts w:hint="default"/>
        <w:lang w:val="en-US" w:eastAsia="en-US" w:bidi="en-US"/>
      </w:rPr>
    </w:lvl>
    <w:lvl w:ilvl="5" w:tplc="41944B1E">
      <w:numFmt w:val="bullet"/>
      <w:lvlText w:val="•"/>
      <w:lvlJc w:val="left"/>
      <w:pPr>
        <w:ind w:left="3071" w:hanging="360"/>
      </w:pPr>
      <w:rPr>
        <w:rFonts w:hint="default"/>
        <w:lang w:val="en-US" w:eastAsia="en-US" w:bidi="en-US"/>
      </w:rPr>
    </w:lvl>
    <w:lvl w:ilvl="6" w:tplc="1152F734">
      <w:numFmt w:val="bullet"/>
      <w:lvlText w:val="•"/>
      <w:lvlJc w:val="left"/>
      <w:pPr>
        <w:ind w:left="3577" w:hanging="360"/>
      </w:pPr>
      <w:rPr>
        <w:rFonts w:hint="default"/>
        <w:lang w:val="en-US" w:eastAsia="en-US" w:bidi="en-US"/>
      </w:rPr>
    </w:lvl>
    <w:lvl w:ilvl="7" w:tplc="1E3E8242">
      <w:numFmt w:val="bullet"/>
      <w:lvlText w:val="•"/>
      <w:lvlJc w:val="left"/>
      <w:pPr>
        <w:ind w:left="4084" w:hanging="360"/>
      </w:pPr>
      <w:rPr>
        <w:rFonts w:hint="default"/>
        <w:lang w:val="en-US" w:eastAsia="en-US" w:bidi="en-US"/>
      </w:rPr>
    </w:lvl>
    <w:lvl w:ilvl="8" w:tplc="83FA8C06">
      <w:numFmt w:val="bullet"/>
      <w:lvlText w:val="•"/>
      <w:lvlJc w:val="left"/>
      <w:pPr>
        <w:ind w:left="4590" w:hanging="360"/>
      </w:pPr>
      <w:rPr>
        <w:rFonts w:hint="default"/>
        <w:lang w:val="en-US" w:eastAsia="en-US" w:bidi="en-US"/>
      </w:rPr>
    </w:lvl>
  </w:abstractNum>
  <w:abstractNum w:abstractNumId="4" w15:restartNumberingAfterBreak="0">
    <w:nsid w:val="1B7F1720"/>
    <w:multiLevelType w:val="hybridMultilevel"/>
    <w:tmpl w:val="A140A4C2"/>
    <w:lvl w:ilvl="0" w:tplc="2EAA8FEE">
      <w:numFmt w:val="bullet"/>
      <w:lvlText w:val="•"/>
      <w:lvlJc w:val="left"/>
      <w:pPr>
        <w:ind w:left="527" w:hanging="360"/>
      </w:pPr>
      <w:rPr>
        <w:rFonts w:ascii="Arial" w:eastAsia="Arial" w:hAnsi="Arial" w:cs="Arial" w:hint="default"/>
        <w:color w:val="57585B"/>
        <w:spacing w:val="-1"/>
        <w:w w:val="100"/>
        <w:sz w:val="18"/>
        <w:szCs w:val="18"/>
        <w:lang w:val="en-US" w:eastAsia="en-US" w:bidi="en-US"/>
      </w:rPr>
    </w:lvl>
    <w:lvl w:ilvl="1" w:tplc="341ECF28">
      <w:numFmt w:val="bullet"/>
      <w:lvlText w:val="•"/>
      <w:lvlJc w:val="left"/>
      <w:pPr>
        <w:ind w:left="1331" w:hanging="360"/>
      </w:pPr>
      <w:rPr>
        <w:rFonts w:hint="default"/>
        <w:lang w:val="en-US" w:eastAsia="en-US" w:bidi="en-US"/>
      </w:rPr>
    </w:lvl>
    <w:lvl w:ilvl="2" w:tplc="C32E6158">
      <w:numFmt w:val="bullet"/>
      <w:lvlText w:val="•"/>
      <w:lvlJc w:val="left"/>
      <w:pPr>
        <w:ind w:left="2142" w:hanging="360"/>
      </w:pPr>
      <w:rPr>
        <w:rFonts w:hint="default"/>
        <w:lang w:val="en-US" w:eastAsia="en-US" w:bidi="en-US"/>
      </w:rPr>
    </w:lvl>
    <w:lvl w:ilvl="3" w:tplc="F0FCB3CE">
      <w:numFmt w:val="bullet"/>
      <w:lvlText w:val="•"/>
      <w:lvlJc w:val="left"/>
      <w:pPr>
        <w:ind w:left="2953" w:hanging="360"/>
      </w:pPr>
      <w:rPr>
        <w:rFonts w:hint="default"/>
        <w:lang w:val="en-US" w:eastAsia="en-US" w:bidi="en-US"/>
      </w:rPr>
    </w:lvl>
    <w:lvl w:ilvl="4" w:tplc="6AD87D20">
      <w:numFmt w:val="bullet"/>
      <w:lvlText w:val="•"/>
      <w:lvlJc w:val="left"/>
      <w:pPr>
        <w:ind w:left="3764" w:hanging="360"/>
      </w:pPr>
      <w:rPr>
        <w:rFonts w:hint="default"/>
        <w:lang w:val="en-US" w:eastAsia="en-US" w:bidi="en-US"/>
      </w:rPr>
    </w:lvl>
    <w:lvl w:ilvl="5" w:tplc="CADAB160">
      <w:numFmt w:val="bullet"/>
      <w:lvlText w:val="•"/>
      <w:lvlJc w:val="left"/>
      <w:pPr>
        <w:ind w:left="4575" w:hanging="360"/>
      </w:pPr>
      <w:rPr>
        <w:rFonts w:hint="default"/>
        <w:lang w:val="en-US" w:eastAsia="en-US" w:bidi="en-US"/>
      </w:rPr>
    </w:lvl>
    <w:lvl w:ilvl="6" w:tplc="1EC2766C">
      <w:numFmt w:val="bullet"/>
      <w:lvlText w:val="•"/>
      <w:lvlJc w:val="left"/>
      <w:pPr>
        <w:ind w:left="5386" w:hanging="360"/>
      </w:pPr>
      <w:rPr>
        <w:rFonts w:hint="default"/>
        <w:lang w:val="en-US" w:eastAsia="en-US" w:bidi="en-US"/>
      </w:rPr>
    </w:lvl>
    <w:lvl w:ilvl="7" w:tplc="66D46422">
      <w:numFmt w:val="bullet"/>
      <w:lvlText w:val="•"/>
      <w:lvlJc w:val="left"/>
      <w:pPr>
        <w:ind w:left="6197" w:hanging="360"/>
      </w:pPr>
      <w:rPr>
        <w:rFonts w:hint="default"/>
        <w:lang w:val="en-US" w:eastAsia="en-US" w:bidi="en-US"/>
      </w:rPr>
    </w:lvl>
    <w:lvl w:ilvl="8" w:tplc="F844DBC6">
      <w:numFmt w:val="bullet"/>
      <w:lvlText w:val="•"/>
      <w:lvlJc w:val="left"/>
      <w:pPr>
        <w:ind w:left="7008" w:hanging="360"/>
      </w:pPr>
      <w:rPr>
        <w:rFonts w:hint="default"/>
        <w:lang w:val="en-US" w:eastAsia="en-US" w:bidi="en-US"/>
      </w:rPr>
    </w:lvl>
  </w:abstractNum>
  <w:abstractNum w:abstractNumId="5" w15:restartNumberingAfterBreak="0">
    <w:nsid w:val="3CFA0AC2"/>
    <w:multiLevelType w:val="hybridMultilevel"/>
    <w:tmpl w:val="B03455DC"/>
    <w:lvl w:ilvl="0" w:tplc="54C216E2">
      <w:start w:val="1"/>
      <w:numFmt w:val="decimal"/>
      <w:lvlText w:val="%1"/>
      <w:lvlJc w:val="left"/>
      <w:pPr>
        <w:ind w:left="448" w:hanging="315"/>
      </w:pPr>
      <w:rPr>
        <w:rFonts w:ascii="Arial" w:eastAsia="Arial" w:hAnsi="Arial" w:cs="Arial" w:hint="default"/>
        <w:color w:val="6D6E71"/>
        <w:w w:val="100"/>
        <w:sz w:val="12"/>
        <w:szCs w:val="12"/>
        <w:lang w:val="en-US" w:eastAsia="en-US" w:bidi="en-US"/>
      </w:rPr>
    </w:lvl>
    <w:lvl w:ilvl="1" w:tplc="3EDCE72C">
      <w:start w:val="1"/>
      <w:numFmt w:val="decimal"/>
      <w:lvlText w:val="%2."/>
      <w:lvlJc w:val="left"/>
      <w:pPr>
        <w:ind w:left="1020" w:hanging="567"/>
      </w:pPr>
      <w:rPr>
        <w:rFonts w:ascii="Arial" w:eastAsia="Arial" w:hAnsi="Arial" w:cs="Arial" w:hint="default"/>
        <w:color w:val="58595B"/>
        <w:spacing w:val="-14"/>
        <w:w w:val="100"/>
        <w:sz w:val="20"/>
        <w:szCs w:val="20"/>
        <w:lang w:val="en-US" w:eastAsia="en-US" w:bidi="en-US"/>
      </w:rPr>
    </w:lvl>
    <w:lvl w:ilvl="2" w:tplc="1CA8DE44">
      <w:numFmt w:val="bullet"/>
      <w:lvlText w:val="•"/>
      <w:lvlJc w:val="left"/>
      <w:pPr>
        <w:ind w:left="2500" w:hanging="567"/>
      </w:pPr>
      <w:rPr>
        <w:rFonts w:hint="default"/>
        <w:lang w:val="en-US" w:eastAsia="en-US" w:bidi="en-US"/>
      </w:rPr>
    </w:lvl>
    <w:lvl w:ilvl="3" w:tplc="78002218">
      <w:numFmt w:val="bullet"/>
      <w:lvlText w:val="•"/>
      <w:lvlJc w:val="left"/>
      <w:pPr>
        <w:ind w:left="3980" w:hanging="567"/>
      </w:pPr>
      <w:rPr>
        <w:rFonts w:hint="default"/>
        <w:lang w:val="en-US" w:eastAsia="en-US" w:bidi="en-US"/>
      </w:rPr>
    </w:lvl>
    <w:lvl w:ilvl="4" w:tplc="4CAA7C40">
      <w:numFmt w:val="bullet"/>
      <w:lvlText w:val="•"/>
      <w:lvlJc w:val="left"/>
      <w:pPr>
        <w:ind w:left="5460" w:hanging="567"/>
      </w:pPr>
      <w:rPr>
        <w:rFonts w:hint="default"/>
        <w:lang w:val="en-US" w:eastAsia="en-US" w:bidi="en-US"/>
      </w:rPr>
    </w:lvl>
    <w:lvl w:ilvl="5" w:tplc="3BC2D134">
      <w:numFmt w:val="bullet"/>
      <w:lvlText w:val="•"/>
      <w:lvlJc w:val="left"/>
      <w:pPr>
        <w:ind w:left="6940" w:hanging="567"/>
      </w:pPr>
      <w:rPr>
        <w:rFonts w:hint="default"/>
        <w:lang w:val="en-US" w:eastAsia="en-US" w:bidi="en-US"/>
      </w:rPr>
    </w:lvl>
    <w:lvl w:ilvl="6" w:tplc="761C8294">
      <w:numFmt w:val="bullet"/>
      <w:lvlText w:val="•"/>
      <w:lvlJc w:val="left"/>
      <w:pPr>
        <w:ind w:left="8420" w:hanging="567"/>
      </w:pPr>
      <w:rPr>
        <w:rFonts w:hint="default"/>
        <w:lang w:val="en-US" w:eastAsia="en-US" w:bidi="en-US"/>
      </w:rPr>
    </w:lvl>
    <w:lvl w:ilvl="7" w:tplc="06926F4E">
      <w:numFmt w:val="bullet"/>
      <w:lvlText w:val="•"/>
      <w:lvlJc w:val="left"/>
      <w:pPr>
        <w:ind w:left="9900" w:hanging="567"/>
      </w:pPr>
      <w:rPr>
        <w:rFonts w:hint="default"/>
        <w:lang w:val="en-US" w:eastAsia="en-US" w:bidi="en-US"/>
      </w:rPr>
    </w:lvl>
    <w:lvl w:ilvl="8" w:tplc="72FA6CFA">
      <w:numFmt w:val="bullet"/>
      <w:lvlText w:val="•"/>
      <w:lvlJc w:val="left"/>
      <w:pPr>
        <w:ind w:left="11380" w:hanging="567"/>
      </w:pPr>
      <w:rPr>
        <w:rFonts w:hint="default"/>
        <w:lang w:val="en-US" w:eastAsia="en-US" w:bidi="en-US"/>
      </w:rPr>
    </w:lvl>
  </w:abstractNum>
  <w:abstractNum w:abstractNumId="6" w15:restartNumberingAfterBreak="0">
    <w:nsid w:val="44C45A4B"/>
    <w:multiLevelType w:val="hybridMultilevel"/>
    <w:tmpl w:val="6BAE8AB4"/>
    <w:lvl w:ilvl="0" w:tplc="930E1278">
      <w:numFmt w:val="bullet"/>
      <w:lvlText w:val="•"/>
      <w:lvlJc w:val="left"/>
      <w:pPr>
        <w:ind w:left="530" w:hanging="360"/>
      </w:pPr>
      <w:rPr>
        <w:rFonts w:ascii="Arial" w:eastAsia="Arial" w:hAnsi="Arial" w:cs="Arial" w:hint="default"/>
        <w:color w:val="57585B"/>
        <w:spacing w:val="-8"/>
        <w:w w:val="100"/>
        <w:sz w:val="18"/>
        <w:szCs w:val="18"/>
        <w:lang w:val="en-US" w:eastAsia="en-US" w:bidi="en-US"/>
      </w:rPr>
    </w:lvl>
    <w:lvl w:ilvl="1" w:tplc="FD9AB36E">
      <w:numFmt w:val="bullet"/>
      <w:lvlText w:val="•"/>
      <w:lvlJc w:val="left"/>
      <w:pPr>
        <w:ind w:left="1349" w:hanging="360"/>
      </w:pPr>
      <w:rPr>
        <w:rFonts w:hint="default"/>
        <w:lang w:val="en-US" w:eastAsia="en-US" w:bidi="en-US"/>
      </w:rPr>
    </w:lvl>
    <w:lvl w:ilvl="2" w:tplc="FA844B8A">
      <w:numFmt w:val="bullet"/>
      <w:lvlText w:val="•"/>
      <w:lvlJc w:val="left"/>
      <w:pPr>
        <w:ind w:left="2158" w:hanging="360"/>
      </w:pPr>
      <w:rPr>
        <w:rFonts w:hint="default"/>
        <w:lang w:val="en-US" w:eastAsia="en-US" w:bidi="en-US"/>
      </w:rPr>
    </w:lvl>
    <w:lvl w:ilvl="3" w:tplc="58A41E14">
      <w:numFmt w:val="bullet"/>
      <w:lvlText w:val="•"/>
      <w:lvlJc w:val="left"/>
      <w:pPr>
        <w:ind w:left="2967" w:hanging="360"/>
      </w:pPr>
      <w:rPr>
        <w:rFonts w:hint="default"/>
        <w:lang w:val="en-US" w:eastAsia="en-US" w:bidi="en-US"/>
      </w:rPr>
    </w:lvl>
    <w:lvl w:ilvl="4" w:tplc="4BB84596">
      <w:numFmt w:val="bullet"/>
      <w:lvlText w:val="•"/>
      <w:lvlJc w:val="left"/>
      <w:pPr>
        <w:ind w:left="3776" w:hanging="360"/>
      </w:pPr>
      <w:rPr>
        <w:rFonts w:hint="default"/>
        <w:lang w:val="en-US" w:eastAsia="en-US" w:bidi="en-US"/>
      </w:rPr>
    </w:lvl>
    <w:lvl w:ilvl="5" w:tplc="FE48BAD4">
      <w:numFmt w:val="bullet"/>
      <w:lvlText w:val="•"/>
      <w:lvlJc w:val="left"/>
      <w:pPr>
        <w:ind w:left="4585" w:hanging="360"/>
      </w:pPr>
      <w:rPr>
        <w:rFonts w:hint="default"/>
        <w:lang w:val="en-US" w:eastAsia="en-US" w:bidi="en-US"/>
      </w:rPr>
    </w:lvl>
    <w:lvl w:ilvl="6" w:tplc="D6AC2E3E">
      <w:numFmt w:val="bullet"/>
      <w:lvlText w:val="•"/>
      <w:lvlJc w:val="left"/>
      <w:pPr>
        <w:ind w:left="5394" w:hanging="360"/>
      </w:pPr>
      <w:rPr>
        <w:rFonts w:hint="default"/>
        <w:lang w:val="en-US" w:eastAsia="en-US" w:bidi="en-US"/>
      </w:rPr>
    </w:lvl>
    <w:lvl w:ilvl="7" w:tplc="7152EF56">
      <w:numFmt w:val="bullet"/>
      <w:lvlText w:val="•"/>
      <w:lvlJc w:val="left"/>
      <w:pPr>
        <w:ind w:left="6203" w:hanging="360"/>
      </w:pPr>
      <w:rPr>
        <w:rFonts w:hint="default"/>
        <w:lang w:val="en-US" w:eastAsia="en-US" w:bidi="en-US"/>
      </w:rPr>
    </w:lvl>
    <w:lvl w:ilvl="8" w:tplc="5F106334">
      <w:numFmt w:val="bullet"/>
      <w:lvlText w:val="•"/>
      <w:lvlJc w:val="left"/>
      <w:pPr>
        <w:ind w:left="7012" w:hanging="360"/>
      </w:pPr>
      <w:rPr>
        <w:rFonts w:hint="default"/>
        <w:lang w:val="en-US" w:eastAsia="en-US" w:bidi="en-US"/>
      </w:rPr>
    </w:lvl>
  </w:abstractNum>
  <w:abstractNum w:abstractNumId="7" w15:restartNumberingAfterBreak="0">
    <w:nsid w:val="505F1DDC"/>
    <w:multiLevelType w:val="hybridMultilevel"/>
    <w:tmpl w:val="700866F8"/>
    <w:lvl w:ilvl="0" w:tplc="9970C82A">
      <w:start w:val="1"/>
      <w:numFmt w:val="bullet"/>
      <w:lvlText w:val=""/>
      <w:lvlPicBulletId w:val="0"/>
      <w:lvlJc w:val="left"/>
      <w:pPr>
        <w:tabs>
          <w:tab w:val="num" w:pos="720"/>
        </w:tabs>
        <w:ind w:left="720" w:hanging="360"/>
      </w:pPr>
      <w:rPr>
        <w:rFonts w:ascii="Symbol" w:hAnsi="Symbol" w:hint="default"/>
      </w:rPr>
    </w:lvl>
    <w:lvl w:ilvl="1" w:tplc="96B67372" w:tentative="1">
      <w:start w:val="1"/>
      <w:numFmt w:val="bullet"/>
      <w:lvlText w:val=""/>
      <w:lvlJc w:val="left"/>
      <w:pPr>
        <w:tabs>
          <w:tab w:val="num" w:pos="1440"/>
        </w:tabs>
        <w:ind w:left="1440" w:hanging="360"/>
      </w:pPr>
      <w:rPr>
        <w:rFonts w:ascii="Symbol" w:hAnsi="Symbol" w:hint="default"/>
      </w:rPr>
    </w:lvl>
    <w:lvl w:ilvl="2" w:tplc="72BC3A06" w:tentative="1">
      <w:start w:val="1"/>
      <w:numFmt w:val="bullet"/>
      <w:lvlText w:val=""/>
      <w:lvlJc w:val="left"/>
      <w:pPr>
        <w:tabs>
          <w:tab w:val="num" w:pos="2160"/>
        </w:tabs>
        <w:ind w:left="2160" w:hanging="360"/>
      </w:pPr>
      <w:rPr>
        <w:rFonts w:ascii="Symbol" w:hAnsi="Symbol" w:hint="default"/>
      </w:rPr>
    </w:lvl>
    <w:lvl w:ilvl="3" w:tplc="612C6EF2" w:tentative="1">
      <w:start w:val="1"/>
      <w:numFmt w:val="bullet"/>
      <w:lvlText w:val=""/>
      <w:lvlJc w:val="left"/>
      <w:pPr>
        <w:tabs>
          <w:tab w:val="num" w:pos="2880"/>
        </w:tabs>
        <w:ind w:left="2880" w:hanging="360"/>
      </w:pPr>
      <w:rPr>
        <w:rFonts w:ascii="Symbol" w:hAnsi="Symbol" w:hint="default"/>
      </w:rPr>
    </w:lvl>
    <w:lvl w:ilvl="4" w:tplc="B1D4A4F4" w:tentative="1">
      <w:start w:val="1"/>
      <w:numFmt w:val="bullet"/>
      <w:lvlText w:val=""/>
      <w:lvlJc w:val="left"/>
      <w:pPr>
        <w:tabs>
          <w:tab w:val="num" w:pos="3600"/>
        </w:tabs>
        <w:ind w:left="3600" w:hanging="360"/>
      </w:pPr>
      <w:rPr>
        <w:rFonts w:ascii="Symbol" w:hAnsi="Symbol" w:hint="default"/>
      </w:rPr>
    </w:lvl>
    <w:lvl w:ilvl="5" w:tplc="B044B1D4" w:tentative="1">
      <w:start w:val="1"/>
      <w:numFmt w:val="bullet"/>
      <w:lvlText w:val=""/>
      <w:lvlJc w:val="left"/>
      <w:pPr>
        <w:tabs>
          <w:tab w:val="num" w:pos="4320"/>
        </w:tabs>
        <w:ind w:left="4320" w:hanging="360"/>
      </w:pPr>
      <w:rPr>
        <w:rFonts w:ascii="Symbol" w:hAnsi="Symbol" w:hint="default"/>
      </w:rPr>
    </w:lvl>
    <w:lvl w:ilvl="6" w:tplc="A5AAFBEA" w:tentative="1">
      <w:start w:val="1"/>
      <w:numFmt w:val="bullet"/>
      <w:lvlText w:val=""/>
      <w:lvlJc w:val="left"/>
      <w:pPr>
        <w:tabs>
          <w:tab w:val="num" w:pos="5040"/>
        </w:tabs>
        <w:ind w:left="5040" w:hanging="360"/>
      </w:pPr>
      <w:rPr>
        <w:rFonts w:ascii="Symbol" w:hAnsi="Symbol" w:hint="default"/>
      </w:rPr>
    </w:lvl>
    <w:lvl w:ilvl="7" w:tplc="DF520ABA" w:tentative="1">
      <w:start w:val="1"/>
      <w:numFmt w:val="bullet"/>
      <w:lvlText w:val=""/>
      <w:lvlJc w:val="left"/>
      <w:pPr>
        <w:tabs>
          <w:tab w:val="num" w:pos="5760"/>
        </w:tabs>
        <w:ind w:left="5760" w:hanging="360"/>
      </w:pPr>
      <w:rPr>
        <w:rFonts w:ascii="Symbol" w:hAnsi="Symbol" w:hint="default"/>
      </w:rPr>
    </w:lvl>
    <w:lvl w:ilvl="8" w:tplc="C74E750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6FC6619B"/>
    <w:multiLevelType w:val="hybridMultilevel"/>
    <w:tmpl w:val="9A6CB67E"/>
    <w:lvl w:ilvl="0" w:tplc="B2ACE488">
      <w:numFmt w:val="bullet"/>
      <w:lvlText w:val="•"/>
      <w:lvlJc w:val="left"/>
      <w:pPr>
        <w:ind w:left="528" w:hanging="360"/>
      </w:pPr>
      <w:rPr>
        <w:rFonts w:ascii="Arial" w:eastAsia="Arial" w:hAnsi="Arial" w:cs="Arial" w:hint="default"/>
        <w:color w:val="57585B"/>
        <w:w w:val="100"/>
        <w:sz w:val="18"/>
        <w:szCs w:val="18"/>
        <w:lang w:val="en-US" w:eastAsia="en-US" w:bidi="en-US"/>
      </w:rPr>
    </w:lvl>
    <w:lvl w:ilvl="1" w:tplc="B218C43C">
      <w:numFmt w:val="bullet"/>
      <w:lvlText w:val="•"/>
      <w:lvlJc w:val="left"/>
      <w:pPr>
        <w:ind w:left="1028" w:hanging="360"/>
      </w:pPr>
      <w:rPr>
        <w:rFonts w:hint="default"/>
        <w:lang w:val="en-US" w:eastAsia="en-US" w:bidi="en-US"/>
      </w:rPr>
    </w:lvl>
    <w:lvl w:ilvl="2" w:tplc="B85E5F4E">
      <w:numFmt w:val="bullet"/>
      <w:lvlText w:val="•"/>
      <w:lvlJc w:val="left"/>
      <w:pPr>
        <w:ind w:left="1536" w:hanging="360"/>
      </w:pPr>
      <w:rPr>
        <w:rFonts w:hint="default"/>
        <w:lang w:val="en-US" w:eastAsia="en-US" w:bidi="en-US"/>
      </w:rPr>
    </w:lvl>
    <w:lvl w:ilvl="3" w:tplc="C23C2616">
      <w:numFmt w:val="bullet"/>
      <w:lvlText w:val="•"/>
      <w:lvlJc w:val="left"/>
      <w:pPr>
        <w:ind w:left="2044" w:hanging="360"/>
      </w:pPr>
      <w:rPr>
        <w:rFonts w:hint="default"/>
        <w:lang w:val="en-US" w:eastAsia="en-US" w:bidi="en-US"/>
      </w:rPr>
    </w:lvl>
    <w:lvl w:ilvl="4" w:tplc="7FC2D180">
      <w:numFmt w:val="bullet"/>
      <w:lvlText w:val="•"/>
      <w:lvlJc w:val="left"/>
      <w:pPr>
        <w:ind w:left="2553" w:hanging="360"/>
      </w:pPr>
      <w:rPr>
        <w:rFonts w:hint="default"/>
        <w:lang w:val="en-US" w:eastAsia="en-US" w:bidi="en-US"/>
      </w:rPr>
    </w:lvl>
    <w:lvl w:ilvl="5" w:tplc="A9A258AC">
      <w:numFmt w:val="bullet"/>
      <w:lvlText w:val="•"/>
      <w:lvlJc w:val="left"/>
      <w:pPr>
        <w:ind w:left="3061" w:hanging="360"/>
      </w:pPr>
      <w:rPr>
        <w:rFonts w:hint="default"/>
        <w:lang w:val="en-US" w:eastAsia="en-US" w:bidi="en-US"/>
      </w:rPr>
    </w:lvl>
    <w:lvl w:ilvl="6" w:tplc="58763484">
      <w:numFmt w:val="bullet"/>
      <w:lvlText w:val="•"/>
      <w:lvlJc w:val="left"/>
      <w:pPr>
        <w:ind w:left="3569" w:hanging="360"/>
      </w:pPr>
      <w:rPr>
        <w:rFonts w:hint="default"/>
        <w:lang w:val="en-US" w:eastAsia="en-US" w:bidi="en-US"/>
      </w:rPr>
    </w:lvl>
    <w:lvl w:ilvl="7" w:tplc="39D640B4">
      <w:numFmt w:val="bullet"/>
      <w:lvlText w:val="•"/>
      <w:lvlJc w:val="left"/>
      <w:pPr>
        <w:ind w:left="4078" w:hanging="360"/>
      </w:pPr>
      <w:rPr>
        <w:rFonts w:hint="default"/>
        <w:lang w:val="en-US" w:eastAsia="en-US" w:bidi="en-US"/>
      </w:rPr>
    </w:lvl>
    <w:lvl w:ilvl="8" w:tplc="C9DA3984">
      <w:numFmt w:val="bullet"/>
      <w:lvlText w:val="•"/>
      <w:lvlJc w:val="left"/>
      <w:pPr>
        <w:ind w:left="4586" w:hanging="360"/>
      </w:pPr>
      <w:rPr>
        <w:rFonts w:hint="default"/>
        <w:lang w:val="en-US" w:eastAsia="en-US" w:bidi="en-US"/>
      </w:rPr>
    </w:lvl>
  </w:abstractNum>
  <w:abstractNum w:abstractNumId="9" w15:restartNumberingAfterBreak="0">
    <w:nsid w:val="794B060E"/>
    <w:multiLevelType w:val="hybridMultilevel"/>
    <w:tmpl w:val="07B897C0"/>
    <w:lvl w:ilvl="0" w:tplc="4F4A2F2E">
      <w:numFmt w:val="bullet"/>
      <w:lvlText w:val="•"/>
      <w:lvlJc w:val="left"/>
      <w:pPr>
        <w:ind w:left="528" w:hanging="360"/>
      </w:pPr>
      <w:rPr>
        <w:rFonts w:ascii="Arial" w:eastAsia="Arial" w:hAnsi="Arial" w:cs="Arial" w:hint="default"/>
        <w:color w:val="57585B"/>
        <w:spacing w:val="-2"/>
        <w:w w:val="100"/>
        <w:sz w:val="18"/>
        <w:szCs w:val="18"/>
        <w:lang w:val="en-US" w:eastAsia="en-US" w:bidi="en-US"/>
      </w:rPr>
    </w:lvl>
    <w:lvl w:ilvl="1" w:tplc="493A9CC2">
      <w:numFmt w:val="bullet"/>
      <w:lvlText w:val="•"/>
      <w:lvlJc w:val="left"/>
      <w:pPr>
        <w:ind w:left="1028" w:hanging="360"/>
      </w:pPr>
      <w:rPr>
        <w:rFonts w:hint="default"/>
        <w:lang w:val="en-US" w:eastAsia="en-US" w:bidi="en-US"/>
      </w:rPr>
    </w:lvl>
    <w:lvl w:ilvl="2" w:tplc="67D273F4">
      <w:numFmt w:val="bullet"/>
      <w:lvlText w:val="•"/>
      <w:lvlJc w:val="left"/>
      <w:pPr>
        <w:ind w:left="1536" w:hanging="360"/>
      </w:pPr>
      <w:rPr>
        <w:rFonts w:hint="default"/>
        <w:lang w:val="en-US" w:eastAsia="en-US" w:bidi="en-US"/>
      </w:rPr>
    </w:lvl>
    <w:lvl w:ilvl="3" w:tplc="C1080078">
      <w:numFmt w:val="bullet"/>
      <w:lvlText w:val="•"/>
      <w:lvlJc w:val="left"/>
      <w:pPr>
        <w:ind w:left="2044" w:hanging="360"/>
      </w:pPr>
      <w:rPr>
        <w:rFonts w:hint="default"/>
        <w:lang w:val="en-US" w:eastAsia="en-US" w:bidi="en-US"/>
      </w:rPr>
    </w:lvl>
    <w:lvl w:ilvl="4" w:tplc="674C55AE">
      <w:numFmt w:val="bullet"/>
      <w:lvlText w:val="•"/>
      <w:lvlJc w:val="left"/>
      <w:pPr>
        <w:ind w:left="2553" w:hanging="360"/>
      </w:pPr>
      <w:rPr>
        <w:rFonts w:hint="default"/>
        <w:lang w:val="en-US" w:eastAsia="en-US" w:bidi="en-US"/>
      </w:rPr>
    </w:lvl>
    <w:lvl w:ilvl="5" w:tplc="4FB67AF4">
      <w:numFmt w:val="bullet"/>
      <w:lvlText w:val="•"/>
      <w:lvlJc w:val="left"/>
      <w:pPr>
        <w:ind w:left="3061" w:hanging="360"/>
      </w:pPr>
      <w:rPr>
        <w:rFonts w:hint="default"/>
        <w:lang w:val="en-US" w:eastAsia="en-US" w:bidi="en-US"/>
      </w:rPr>
    </w:lvl>
    <w:lvl w:ilvl="6" w:tplc="6ACA5160">
      <w:numFmt w:val="bullet"/>
      <w:lvlText w:val="•"/>
      <w:lvlJc w:val="left"/>
      <w:pPr>
        <w:ind w:left="3569" w:hanging="360"/>
      </w:pPr>
      <w:rPr>
        <w:rFonts w:hint="default"/>
        <w:lang w:val="en-US" w:eastAsia="en-US" w:bidi="en-US"/>
      </w:rPr>
    </w:lvl>
    <w:lvl w:ilvl="7" w:tplc="31EC9B40">
      <w:numFmt w:val="bullet"/>
      <w:lvlText w:val="•"/>
      <w:lvlJc w:val="left"/>
      <w:pPr>
        <w:ind w:left="4078" w:hanging="360"/>
      </w:pPr>
      <w:rPr>
        <w:rFonts w:hint="default"/>
        <w:lang w:val="en-US" w:eastAsia="en-US" w:bidi="en-US"/>
      </w:rPr>
    </w:lvl>
    <w:lvl w:ilvl="8" w:tplc="952E9BEA">
      <w:numFmt w:val="bullet"/>
      <w:lvlText w:val="•"/>
      <w:lvlJc w:val="left"/>
      <w:pPr>
        <w:ind w:left="4586" w:hanging="360"/>
      </w:pPr>
      <w:rPr>
        <w:rFonts w:hint="default"/>
        <w:lang w:val="en-US" w:eastAsia="en-US" w:bidi="en-US"/>
      </w:rPr>
    </w:lvl>
  </w:abstractNum>
  <w:num w:numId="1">
    <w:abstractNumId w:val="5"/>
  </w:num>
  <w:num w:numId="2">
    <w:abstractNumId w:val="1"/>
  </w:num>
  <w:num w:numId="3">
    <w:abstractNumId w:val="4"/>
  </w:num>
  <w:num w:numId="4">
    <w:abstractNumId w:val="9"/>
  </w:num>
  <w:num w:numId="5">
    <w:abstractNumId w:val="8"/>
  </w:num>
  <w:num w:numId="6">
    <w:abstractNumId w:val="0"/>
  </w:num>
  <w:num w:numId="7">
    <w:abstractNumId w:val="6"/>
  </w:num>
  <w:num w:numId="8">
    <w:abstractNumId w:val="3"/>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75C"/>
    <w:rsid w:val="000135D8"/>
    <w:rsid w:val="0003255B"/>
    <w:rsid w:val="00035495"/>
    <w:rsid w:val="00042662"/>
    <w:rsid w:val="00064DD1"/>
    <w:rsid w:val="00084AFC"/>
    <w:rsid w:val="00086DD3"/>
    <w:rsid w:val="0008730C"/>
    <w:rsid w:val="00094627"/>
    <w:rsid w:val="000E20ED"/>
    <w:rsid w:val="00146154"/>
    <w:rsid w:val="00170FB3"/>
    <w:rsid w:val="00215747"/>
    <w:rsid w:val="002D1B64"/>
    <w:rsid w:val="002D27D3"/>
    <w:rsid w:val="002D3EBD"/>
    <w:rsid w:val="00347C68"/>
    <w:rsid w:val="00375E6A"/>
    <w:rsid w:val="00375F5D"/>
    <w:rsid w:val="003842C1"/>
    <w:rsid w:val="003B0E50"/>
    <w:rsid w:val="004041A7"/>
    <w:rsid w:val="0041773C"/>
    <w:rsid w:val="00470080"/>
    <w:rsid w:val="00480CA4"/>
    <w:rsid w:val="00483EDA"/>
    <w:rsid w:val="004D10A9"/>
    <w:rsid w:val="004D3269"/>
    <w:rsid w:val="004E6779"/>
    <w:rsid w:val="004E7AF1"/>
    <w:rsid w:val="004F1EDA"/>
    <w:rsid w:val="004F46BE"/>
    <w:rsid w:val="00510B36"/>
    <w:rsid w:val="005210DF"/>
    <w:rsid w:val="00551E92"/>
    <w:rsid w:val="00574C84"/>
    <w:rsid w:val="00596335"/>
    <w:rsid w:val="006049A0"/>
    <w:rsid w:val="00605FD7"/>
    <w:rsid w:val="006452BB"/>
    <w:rsid w:val="006533D8"/>
    <w:rsid w:val="00673A70"/>
    <w:rsid w:val="006C5266"/>
    <w:rsid w:val="006D4C9F"/>
    <w:rsid w:val="006D4EF4"/>
    <w:rsid w:val="006E0C5E"/>
    <w:rsid w:val="007216C0"/>
    <w:rsid w:val="00732903"/>
    <w:rsid w:val="00750FB2"/>
    <w:rsid w:val="00780968"/>
    <w:rsid w:val="0078439E"/>
    <w:rsid w:val="007E4C27"/>
    <w:rsid w:val="007F0136"/>
    <w:rsid w:val="00806D94"/>
    <w:rsid w:val="0081041E"/>
    <w:rsid w:val="00817F83"/>
    <w:rsid w:val="00855F53"/>
    <w:rsid w:val="0086582B"/>
    <w:rsid w:val="00873B1C"/>
    <w:rsid w:val="008953E6"/>
    <w:rsid w:val="0089706A"/>
    <w:rsid w:val="008A3919"/>
    <w:rsid w:val="008B5F05"/>
    <w:rsid w:val="008F3640"/>
    <w:rsid w:val="009100EC"/>
    <w:rsid w:val="009115BE"/>
    <w:rsid w:val="009F2044"/>
    <w:rsid w:val="009F5F6E"/>
    <w:rsid w:val="00A00851"/>
    <w:rsid w:val="00A142B5"/>
    <w:rsid w:val="00A70A3D"/>
    <w:rsid w:val="00AD14C5"/>
    <w:rsid w:val="00AE0409"/>
    <w:rsid w:val="00B62BDA"/>
    <w:rsid w:val="00B736DE"/>
    <w:rsid w:val="00B86E3E"/>
    <w:rsid w:val="00BB38D0"/>
    <w:rsid w:val="00BB6A50"/>
    <w:rsid w:val="00C214E3"/>
    <w:rsid w:val="00C3075C"/>
    <w:rsid w:val="00C50C27"/>
    <w:rsid w:val="00C653CF"/>
    <w:rsid w:val="00C85387"/>
    <w:rsid w:val="00CA406A"/>
    <w:rsid w:val="00CF6432"/>
    <w:rsid w:val="00D03C5C"/>
    <w:rsid w:val="00D14067"/>
    <w:rsid w:val="00D30176"/>
    <w:rsid w:val="00D308D2"/>
    <w:rsid w:val="00D83BD5"/>
    <w:rsid w:val="00DA355E"/>
    <w:rsid w:val="00DB7520"/>
    <w:rsid w:val="00DC3C28"/>
    <w:rsid w:val="00E318FF"/>
    <w:rsid w:val="00E46684"/>
    <w:rsid w:val="00E62421"/>
    <w:rsid w:val="00EB2EB6"/>
    <w:rsid w:val="00EC24B8"/>
    <w:rsid w:val="00EF4B42"/>
    <w:rsid w:val="00F135AD"/>
    <w:rsid w:val="00FA11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B93F5-0BEC-A64E-A61D-14FDFA66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bidi="en-US"/>
    </w:rPr>
  </w:style>
  <w:style w:type="paragraph" w:styleId="Ttulo1">
    <w:name w:val="heading 1"/>
    <w:basedOn w:val="Normal"/>
    <w:uiPriority w:val="9"/>
    <w:qFormat/>
    <w:pPr>
      <w:ind w:left="113"/>
      <w:outlineLvl w:val="0"/>
    </w:pPr>
    <w:rPr>
      <w:b/>
      <w:bCs/>
      <w:sz w:val="28"/>
      <w:szCs w:val="28"/>
    </w:rPr>
  </w:style>
  <w:style w:type="paragraph" w:styleId="Ttulo2">
    <w:name w:val="heading 2"/>
    <w:basedOn w:val="Normal"/>
    <w:uiPriority w:val="9"/>
    <w:unhideWhenUsed/>
    <w:qFormat/>
    <w:pPr>
      <w:spacing w:before="88"/>
      <w:ind w:left="133"/>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spacing w:before="186"/>
      <w:ind w:left="1020" w:hanging="566"/>
    </w:pPr>
  </w:style>
  <w:style w:type="paragraph" w:customStyle="1" w:styleId="TableParagraph">
    <w:name w:val="Table Paragraph"/>
    <w:basedOn w:val="Normal"/>
    <w:uiPriority w:val="1"/>
    <w:qFormat/>
    <w:pPr>
      <w:ind w:left="167"/>
    </w:pPr>
  </w:style>
  <w:style w:type="paragraph" w:styleId="Encabezado">
    <w:name w:val="header"/>
    <w:basedOn w:val="Normal"/>
    <w:link w:val="EncabezadoCar"/>
    <w:uiPriority w:val="99"/>
    <w:unhideWhenUsed/>
    <w:rsid w:val="00086DD3"/>
    <w:pPr>
      <w:tabs>
        <w:tab w:val="center" w:pos="4513"/>
        <w:tab w:val="right" w:pos="9026"/>
      </w:tabs>
    </w:pPr>
  </w:style>
  <w:style w:type="character" w:customStyle="1" w:styleId="EncabezadoCar">
    <w:name w:val="Encabezado Car"/>
    <w:basedOn w:val="Fuentedeprrafopredeter"/>
    <w:link w:val="Encabezado"/>
    <w:uiPriority w:val="99"/>
    <w:rsid w:val="00086DD3"/>
    <w:rPr>
      <w:rFonts w:ascii="Arial" w:eastAsia="Arial" w:hAnsi="Arial" w:cs="Arial"/>
      <w:lang w:bidi="en-US"/>
    </w:rPr>
  </w:style>
  <w:style w:type="paragraph" w:styleId="Piedepgina">
    <w:name w:val="footer"/>
    <w:basedOn w:val="Normal"/>
    <w:link w:val="PiedepginaCar"/>
    <w:uiPriority w:val="99"/>
    <w:unhideWhenUsed/>
    <w:rsid w:val="00086DD3"/>
    <w:pPr>
      <w:tabs>
        <w:tab w:val="center" w:pos="4513"/>
        <w:tab w:val="right" w:pos="9026"/>
      </w:tabs>
    </w:pPr>
  </w:style>
  <w:style w:type="character" w:customStyle="1" w:styleId="PiedepginaCar">
    <w:name w:val="Pie de página Car"/>
    <w:basedOn w:val="Fuentedeprrafopredeter"/>
    <w:link w:val="Piedepgina"/>
    <w:uiPriority w:val="99"/>
    <w:rsid w:val="00086DD3"/>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ep.unesco.org/sites/default/files/module_5.pdf" TargetMode="External"/><Relationship Id="rId13" Type="http://schemas.openxmlformats.org/officeDocument/2006/relationships/hyperlink" Target="http://www.iiep.unesco.org/sites/default/files/module_5.pdf" TargetMode="External"/><Relationship Id="rId18" Type="http://schemas.openxmlformats.org/officeDocument/2006/relationships/hyperlink" Target="http://www.iiep.unesco.org/sites/default/files/module_5.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lobalpartnership.org/content/rationale-investing-pre-primary" TargetMode="External"/><Relationship Id="rId7" Type="http://schemas.openxmlformats.org/officeDocument/2006/relationships/hyperlink" Target="http://www.iiep.unesco.org/sites/default/files/module_4.pdf" TargetMode="External"/><Relationship Id="rId12" Type="http://schemas.openxmlformats.org/officeDocument/2006/relationships/hyperlink" Target="http://www.iiep.unesco.org/sites/default/files/module_4.pdf" TargetMode="External"/><Relationship Id="rId17" Type="http://schemas.openxmlformats.org/officeDocument/2006/relationships/hyperlink" Target="http://www.iiep.unesco.org/sites/default/files/module_4.pdf"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globalpartnership.org/sites/default/files/document/file/2020-02-03-GPE-MOOC-course-module-5.pdf" TargetMode="External"/><Relationship Id="rId20" Type="http://schemas.openxmlformats.org/officeDocument/2006/relationships/hyperlink" Target="http://www.iiep.unesco.org/sites/default/files/module_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iiep.unesco.org/sites/default/files/module_5.pdf" TargetMode="External"/><Relationship Id="rId23" Type="http://schemas.openxmlformats.org/officeDocument/2006/relationships/image" Target="media/image4.png"/><Relationship Id="rId10" Type="http://schemas.openxmlformats.org/officeDocument/2006/relationships/image" Target="media/image3.emf"/><Relationship Id="rId19" Type="http://schemas.openxmlformats.org/officeDocument/2006/relationships/hyperlink" Target="http://www.iiep.unesco.org/sites/default/files/module_4.pd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iiep.unesco.org/sites/default/files/module_4.pdf" TargetMode="External"/><Relationship Id="rId22" Type="http://schemas.openxmlformats.org/officeDocument/2006/relationships/hyperlink" Target="http://www.ece-accelerator.org/toolkit/section-3/tool-3-2"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2615</Words>
  <Characters>14385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2021-03-31T17:21:00Z</dcterms:created>
  <dcterms:modified xsi:type="dcterms:W3CDTF">2021-03-31T17:21:00Z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2021-01-03T00:00:00Z</vt:filetime>
  </property>
  <property fmtid="{D5CDD505-2E9C-101B-9397-08002B2CF9AE}" pid="3" name="Creator">
    <vt:lpwstr>Adobe InDesign CC 14.0 (Macintosh)</vt:lpwstr>
  </property>
  <property fmtid="{D5CDD505-2E9C-101B-9397-08002B2CF9AE}" pid="4" name="LastSaved">
    <vt:filetime>2021-03-16T00:00:00Z</vt:filetime>
  </property>
</Properties>
</file>