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672" w:rsidRDefault="003125F6" w:rsidP="00626321">
      <w:pPr>
        <w:spacing w:before="75"/>
        <w:jc w:val="center"/>
        <w:rPr>
          <w:sz w:val="28"/>
        </w:rPr>
      </w:pPr>
      <w:r>
        <w:rPr>
          <w:color w:val="913592"/>
          <w:sz w:val="28"/>
          <w:lang w:bidi="fr-FR"/>
        </w:rPr>
        <w:t xml:space="preserve">OUTIL 5.1 </w:t>
      </w:r>
      <w:r w:rsidR="00D37804">
        <w:rPr>
          <w:color w:val="913592"/>
          <w:sz w:val="28"/>
          <w:lang w:bidi="fr-FR"/>
        </w:rPr>
        <w:t>—</w:t>
      </w:r>
      <w:r>
        <w:rPr>
          <w:color w:val="913592"/>
          <w:sz w:val="28"/>
          <w:lang w:bidi="fr-FR"/>
        </w:rPr>
        <w:t xml:space="preserve"> RECOMMANDATIONS</w:t>
      </w:r>
    </w:p>
    <w:p w:rsidR="00E35672" w:rsidRDefault="003125F6" w:rsidP="00626321">
      <w:pPr>
        <w:spacing w:before="71"/>
        <w:jc w:val="center"/>
        <w:rPr>
          <w:b/>
          <w:sz w:val="28"/>
        </w:rPr>
      </w:pPr>
      <w:r>
        <w:rPr>
          <w:b/>
          <w:color w:val="913592"/>
          <w:sz w:val="28"/>
          <w:lang w:bidi="fr-FR"/>
        </w:rPr>
        <w:t>PRÉPARATION AU PROCESSUS D’EXAMEN ANNUEL</w:t>
      </w:r>
    </w:p>
    <w:p w:rsidR="00E35672" w:rsidRDefault="00E35672" w:rsidP="00626321">
      <w:pPr>
        <w:pStyle w:val="Textoindependiente"/>
        <w:jc w:val="center"/>
        <w:rPr>
          <w:b/>
          <w:sz w:val="30"/>
        </w:rPr>
      </w:pPr>
    </w:p>
    <w:p w:rsidR="00E35672" w:rsidRDefault="00E35672">
      <w:pPr>
        <w:pStyle w:val="Textoindependiente"/>
        <w:spacing w:before="11"/>
        <w:rPr>
          <w:b/>
          <w:sz w:val="23"/>
        </w:rPr>
      </w:pPr>
    </w:p>
    <w:p w:rsidR="00E35672" w:rsidRDefault="003125F6">
      <w:pPr>
        <w:ind w:left="113"/>
        <w:rPr>
          <w:b/>
          <w:sz w:val="26"/>
        </w:rPr>
      </w:pPr>
      <w:r>
        <w:rPr>
          <w:b/>
          <w:color w:val="57585B"/>
          <w:sz w:val="26"/>
          <w:lang w:bidi="fr-FR"/>
        </w:rPr>
        <w:t>Recommandations : préparation au processus d’examen annuel</w:t>
      </w:r>
    </w:p>
    <w:p w:rsidR="00E35672" w:rsidRDefault="003125F6">
      <w:pPr>
        <w:pStyle w:val="Textoindependiente"/>
        <w:spacing w:before="150" w:line="292" w:lineRule="auto"/>
        <w:ind w:left="113"/>
      </w:pPr>
      <w:r>
        <w:rPr>
          <w:color w:val="434344"/>
          <w:lang w:bidi="fr-FR"/>
        </w:rPr>
        <w:t>Deux recommandations principales vous aideront à préparer votre participation au processus d</w:t>
      </w:r>
      <w:r w:rsidR="00D37804">
        <w:rPr>
          <w:color w:val="434344"/>
          <w:lang w:bidi="fr-FR"/>
        </w:rPr>
        <w:t>’</w:t>
      </w:r>
      <w:r>
        <w:rPr>
          <w:color w:val="434344"/>
          <w:lang w:bidi="fr-FR"/>
        </w:rPr>
        <w:t>examen annuel et à l’établissement de rapports sur les progrès en matière d’EPE.</w:t>
      </w:r>
    </w:p>
    <w:p w:rsidR="00E35672" w:rsidRDefault="00E35672">
      <w:pPr>
        <w:pStyle w:val="Textoindependiente"/>
      </w:pPr>
    </w:p>
    <w:p w:rsidR="00E35672" w:rsidRDefault="00626321">
      <w:pPr>
        <w:pStyle w:val="Textoindependiente"/>
        <w:spacing w:before="5"/>
        <w:rPr>
          <w:sz w:val="19"/>
        </w:rPr>
      </w:pPr>
      <w:r>
        <w:rPr>
          <w:noProof/>
          <w:lang w:bidi="fr-FR"/>
        </w:rPr>
        <mc:AlternateContent>
          <mc:Choice Requires="wpg">
            <w:drawing>
              <wp:anchor distT="0" distB="0" distL="0" distR="0" simplePos="0" relativeHeight="251655680" behindDoc="1" locked="0" layoutInCell="1" allowOverlap="1" wp14:anchorId="4ACBA2DD">
                <wp:simplePos x="0" y="0"/>
                <wp:positionH relativeFrom="page">
                  <wp:posOffset>720090</wp:posOffset>
                </wp:positionH>
                <wp:positionV relativeFrom="paragraph">
                  <wp:posOffset>167640</wp:posOffset>
                </wp:positionV>
                <wp:extent cx="6332855" cy="313690"/>
                <wp:effectExtent l="12700" t="12700" r="4445" b="3810"/>
                <wp:wrapTopAndBottom/>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313690"/>
                          <a:chOff x="1134" y="264"/>
                          <a:chExt cx="9973" cy="494"/>
                        </a:xfrm>
                      </wpg:grpSpPr>
                      <wps:wsp>
                        <wps:cNvPr id="18" name="Line 19"/>
                        <wps:cNvCnPr>
                          <a:cxnSpLocks/>
                        </wps:cNvCnPr>
                        <wps:spPr bwMode="auto">
                          <a:xfrm>
                            <a:off x="1134" y="267"/>
                            <a:ext cx="9972"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s:wsp>
                        <wps:cNvPr id="19" name="Line 20"/>
                        <wps:cNvCnPr>
                          <a:cxnSpLocks/>
                        </wps:cNvCnPr>
                        <wps:spPr bwMode="auto">
                          <a:xfrm>
                            <a:off x="1134" y="754"/>
                            <a:ext cx="9972"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 name="Picture 2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33" y="339"/>
                            <a:ext cx="569" cy="355"/>
                          </a:xfrm>
                          <a:prstGeom prst="rect">
                            <a:avLst/>
                          </a:prstGeom>
                          <a:noFill/>
                          <a:extLst>
                            <a:ext uri="{909E8E84-426E-40DD-AFC4-6F175D3DCCD1}">
                              <a14:hiddenFill xmlns:a14="http://schemas.microsoft.com/office/drawing/2010/main">
                                <a:solidFill>
                                  <a:srgbClr val="FFFFFF"/>
                                </a:solidFill>
                              </a14:hiddenFill>
                            </a:ext>
                          </a:extLst>
                        </pic:spPr>
                      </pic:pic>
                      <wps:wsp>
                        <wps:cNvPr id="21" name="Text Box 22"/>
                        <wps:cNvSpPr txBox="1">
                          <a:spLocks/>
                        </wps:cNvSpPr>
                        <wps:spPr bwMode="auto">
                          <a:xfrm>
                            <a:off x="1133" y="263"/>
                            <a:ext cx="9973" cy="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672" w:rsidRDefault="003125F6">
                              <w:pPr>
                                <w:spacing w:before="103"/>
                                <w:ind w:left="680"/>
                                <w:rPr>
                                  <w:b/>
                                  <w:sz w:val="24"/>
                                </w:rPr>
                              </w:pPr>
                              <w:r>
                                <w:rPr>
                                  <w:b/>
                                  <w:color w:val="58595B"/>
                                  <w:sz w:val="24"/>
                                  <w:lang w:bidi="fr-FR"/>
                                </w:rPr>
                                <w:t>Recommandation 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CBA2DD" id="Group 18" o:spid="_x0000_s1026" style="position:absolute;margin-left:56.7pt;margin-top:13.2pt;width:498.65pt;height:24.7pt;z-index:-251660800;mso-wrap-distance-left:0;mso-wrap-distance-right:0;mso-position-horizontal-relative:page" coordorigin="1134,264" coordsize="9973,49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">
                <v:line id="Line 19" o:spid="_x0000_s1027" style="position:absolute;visibility:visible;mso-wrap-style:square" from="1134,267" to="11106,26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" strokecolor="#939598" strokeweight=".35pt">
                  <o:lock v:ext="edit" shapetype="f"/>
                </v:line>
                <v:line id="Line 20" o:spid="_x0000_s1028" style="position:absolute;visibility:visible;mso-wrap-style:square" from="1134,754" to="11106,7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" strokecolor="#939598" strokeweight=".3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9" type="#_x0000_t75" style="position:absolute;left:1133;top:339;width:569;height:35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">
                  <v:imagedata r:id="rId11" o:title=""/>
                  <o:lock v:ext="edit" aspectratio="f"/>
                </v:shape>
                <v:shapetype id="_x0000_t202" coordsize="21600,21600" o:spt="202" path="m,l,21600r21600,l21600,xe">
                  <v:stroke joinstyle="miter"/>
                  <v:path gradientshapeok="t" o:connecttype="rect"/>
                </v:shapetype>
                <v:shape id="Text Box 22" o:spid="_x0000_s1030" type="#_x0000_t202" style="position:absolute;left:1133;top:263;width:9973;height: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" filled="f" stroked="f">
                  <v:path arrowok="t"/>
                  <v:textbox inset="0,0,0,0">
                    <w:txbxContent>
                      <w:p w:rsidR="00E35672" w:rsidRDefault="003125F6">
                        <w:pPr>
                          <w:spacing w:before="103"/>
                          <w:ind w:left="680"/>
                          <w:rPr>
                            <w:b/>
                            <w:sz w:val="24"/>
                          </w:rPr>
                        </w:pPr>
                        <w:r>
                          <w:rPr>
                            <w:b/>
                            <w:color w:val="58595B"/>
                            <w:sz w:val="24"/>
                            <w:lang w:bidi="fr-FR"/>
                          </w:rPr>
                          <w:t>Recommandation 1</w:t>
                        </w:r>
                      </w:p>
                    </w:txbxContent>
                  </v:textbox>
                </v:shape>
                <w10:wrap type="topAndBottom" anchorx="page"/>
              </v:group>
            </w:pict>
          </mc:Fallback>
        </mc:AlternateContent>
      </w:r>
    </w:p>
    <w:p w:rsidR="00E35672" w:rsidRDefault="003125F6">
      <w:pPr>
        <w:pStyle w:val="Textoindependiente"/>
        <w:spacing w:before="96" w:line="292" w:lineRule="auto"/>
        <w:ind w:left="113"/>
      </w:pPr>
      <w:r>
        <w:rPr>
          <w:color w:val="434344"/>
          <w:lang w:bidi="fr-FR"/>
        </w:rPr>
        <w:t xml:space="preserve">Lorsque vous préparez l’examen annuel, rassemblez les données et les informations générales qui alimenteront </w:t>
      </w:r>
      <w:proofErr w:type="gramStart"/>
      <w:r>
        <w:rPr>
          <w:color w:val="434344"/>
          <w:lang w:bidi="fr-FR"/>
        </w:rPr>
        <w:t>les</w:t>
      </w:r>
      <w:proofErr w:type="gramEnd"/>
      <w:r>
        <w:rPr>
          <w:color w:val="434344"/>
          <w:lang w:bidi="fr-FR"/>
        </w:rPr>
        <w:t xml:space="preserve"> discussions et le dialogue lors des réunions.</w:t>
      </w:r>
    </w:p>
    <w:p w:rsidR="00E35672" w:rsidRDefault="00E35672">
      <w:pPr>
        <w:pStyle w:val="Textoindependiente"/>
        <w:spacing w:before="11"/>
        <w:rPr>
          <w:sz w:val="21"/>
        </w:rPr>
      </w:pPr>
    </w:p>
    <w:p w:rsidR="00E35672" w:rsidRDefault="003125F6">
      <w:pPr>
        <w:pStyle w:val="Ttulo2"/>
        <w:numPr>
          <w:ilvl w:val="0"/>
          <w:numId w:val="20"/>
        </w:numPr>
        <w:tabs>
          <w:tab w:val="left" w:pos="437"/>
        </w:tabs>
        <w:spacing w:line="292" w:lineRule="auto"/>
        <w:ind w:firstLine="0"/>
      </w:pPr>
      <w:r>
        <w:rPr>
          <w:color w:val="913592"/>
          <w:lang w:bidi="fr-FR"/>
        </w:rPr>
        <w:t>Réalisez un examen des données en matière d’EPE issues du plan opérationnel et du cadre de résultats (cibles, indicateurs, sources de données en matière d’EPE) afin d’identifier les éléments suivants.</w:t>
      </w:r>
    </w:p>
    <w:p w:rsidR="00E35672" w:rsidRDefault="003125F6">
      <w:pPr>
        <w:pStyle w:val="Prrafodelista"/>
        <w:numPr>
          <w:ilvl w:val="0"/>
          <w:numId w:val="19"/>
        </w:numPr>
        <w:tabs>
          <w:tab w:val="left" w:pos="680"/>
          <w:tab w:val="left" w:pos="681"/>
        </w:tabs>
        <w:spacing w:before="112"/>
        <w:rPr>
          <w:sz w:val="20"/>
        </w:rPr>
      </w:pPr>
      <w:r>
        <w:rPr>
          <w:color w:val="57585B"/>
          <w:sz w:val="20"/>
          <w:lang w:bidi="fr-FR"/>
        </w:rPr>
        <w:t>Quelles données en matière d’EPE ont bien été recueillies comme il était prévu ?</w:t>
      </w:r>
    </w:p>
    <w:p w:rsidR="00E35672" w:rsidRDefault="003125F6">
      <w:pPr>
        <w:pStyle w:val="Prrafodelista"/>
        <w:numPr>
          <w:ilvl w:val="0"/>
          <w:numId w:val="19"/>
        </w:numPr>
        <w:tabs>
          <w:tab w:val="left" w:pos="681"/>
        </w:tabs>
        <w:spacing w:before="164" w:line="292" w:lineRule="auto"/>
        <w:ind w:right="112"/>
        <w:jc w:val="both"/>
        <w:rPr>
          <w:sz w:val="20"/>
        </w:rPr>
      </w:pPr>
      <w:r>
        <w:rPr>
          <w:color w:val="57585B"/>
          <w:sz w:val="20"/>
          <w:lang w:bidi="fr-FR"/>
        </w:rPr>
        <w:t xml:space="preserve">Les données en matière d’EPE </w:t>
      </w:r>
      <w:proofErr w:type="spellStart"/>
      <w:r>
        <w:rPr>
          <w:color w:val="57585B"/>
          <w:sz w:val="20"/>
          <w:lang w:bidi="fr-FR"/>
        </w:rPr>
        <w:t>ont-elles</w:t>
      </w:r>
      <w:proofErr w:type="spellEnd"/>
      <w:r>
        <w:rPr>
          <w:color w:val="57585B"/>
          <w:sz w:val="20"/>
          <w:lang w:bidi="fr-FR"/>
        </w:rPr>
        <w:t xml:space="preserve"> été ventilées de sorte à mettre en évidence les différences parmi les considérations d’équité (notamment le genre, la situation géographique, l’ethnicité, le handicap, le statut de migrant, d’immigrant, de personne déplacée à l’intérieur du pays ou de réfugié) ?</w:t>
      </w:r>
    </w:p>
    <w:p w:rsidR="00E35672" w:rsidRDefault="003125F6">
      <w:pPr>
        <w:pStyle w:val="Prrafodelista"/>
        <w:numPr>
          <w:ilvl w:val="0"/>
          <w:numId w:val="19"/>
        </w:numPr>
        <w:tabs>
          <w:tab w:val="left" w:pos="680"/>
          <w:tab w:val="left" w:pos="681"/>
        </w:tabs>
        <w:spacing w:before="111"/>
        <w:rPr>
          <w:sz w:val="20"/>
        </w:rPr>
      </w:pPr>
      <w:r>
        <w:rPr>
          <w:color w:val="57585B"/>
          <w:sz w:val="20"/>
          <w:lang w:bidi="fr-FR"/>
        </w:rPr>
        <w:t xml:space="preserve">Les données en matière d’EPE </w:t>
      </w:r>
      <w:proofErr w:type="spellStart"/>
      <w:r>
        <w:rPr>
          <w:color w:val="57585B"/>
          <w:sz w:val="20"/>
          <w:lang w:bidi="fr-FR"/>
        </w:rPr>
        <w:t>ont-elles</w:t>
      </w:r>
      <w:proofErr w:type="spellEnd"/>
      <w:r>
        <w:rPr>
          <w:color w:val="57585B"/>
          <w:sz w:val="20"/>
          <w:lang w:bidi="fr-FR"/>
        </w:rPr>
        <w:t xml:space="preserve"> été analysées et présentées dans des rapports selon les intervalles convenus ?</w:t>
      </w:r>
    </w:p>
    <w:p w:rsidR="00E35672" w:rsidRDefault="003125F6">
      <w:pPr>
        <w:pStyle w:val="Prrafodelista"/>
        <w:numPr>
          <w:ilvl w:val="0"/>
          <w:numId w:val="19"/>
        </w:numPr>
        <w:tabs>
          <w:tab w:val="left" w:pos="680"/>
          <w:tab w:val="left" w:pos="681"/>
        </w:tabs>
        <w:spacing w:before="164" w:line="292" w:lineRule="auto"/>
        <w:ind w:right="113"/>
        <w:rPr>
          <w:sz w:val="20"/>
        </w:rPr>
      </w:pPr>
      <w:r>
        <w:rPr>
          <w:color w:val="57585B"/>
          <w:sz w:val="20"/>
          <w:lang w:bidi="fr-FR"/>
        </w:rPr>
        <w:t>Quels indicateurs du plan opérationnel (et/ou du plan de travail annuel si c’est pertinent) peuvent contribuer le plus clairement à l’établissement du rapport sur les indicateurs dans le cadre de résultats du plan sectoriel d’éducation ?</w:t>
      </w:r>
    </w:p>
    <w:p w:rsidR="00E35672" w:rsidRDefault="003125F6">
      <w:pPr>
        <w:pStyle w:val="Prrafodelista"/>
        <w:numPr>
          <w:ilvl w:val="0"/>
          <w:numId w:val="19"/>
        </w:numPr>
        <w:tabs>
          <w:tab w:val="left" w:pos="680"/>
          <w:tab w:val="left" w:pos="681"/>
        </w:tabs>
        <w:spacing w:before="112"/>
        <w:rPr>
          <w:sz w:val="20"/>
        </w:rPr>
      </w:pPr>
      <w:r>
        <w:rPr>
          <w:color w:val="57585B"/>
          <w:sz w:val="20"/>
          <w:lang w:bidi="fr-FR"/>
        </w:rPr>
        <w:t xml:space="preserve">Quelles cibles </w:t>
      </w:r>
      <w:proofErr w:type="spellStart"/>
      <w:r>
        <w:rPr>
          <w:color w:val="57585B"/>
          <w:sz w:val="20"/>
          <w:lang w:bidi="fr-FR"/>
        </w:rPr>
        <w:t>ont-elles</w:t>
      </w:r>
      <w:proofErr w:type="spellEnd"/>
      <w:r>
        <w:rPr>
          <w:color w:val="57585B"/>
          <w:sz w:val="20"/>
          <w:lang w:bidi="fr-FR"/>
        </w:rPr>
        <w:t xml:space="preserve"> été atteintes, et lesquelles ne l’ont pas été ?</w:t>
      </w:r>
    </w:p>
    <w:p w:rsidR="00E35672" w:rsidRDefault="00E35672">
      <w:pPr>
        <w:pStyle w:val="Textoindependiente"/>
        <w:rPr>
          <w:sz w:val="22"/>
        </w:rPr>
      </w:pPr>
    </w:p>
    <w:p w:rsidR="00E35672" w:rsidRDefault="00E35672">
      <w:pPr>
        <w:pStyle w:val="Textoindependiente"/>
        <w:spacing w:before="5"/>
        <w:rPr>
          <w:sz w:val="26"/>
        </w:rPr>
      </w:pPr>
    </w:p>
    <w:p w:rsidR="00E35672" w:rsidRDefault="003125F6">
      <w:pPr>
        <w:pStyle w:val="Textoindependiente"/>
        <w:spacing w:line="295" w:lineRule="auto"/>
        <w:ind w:left="113" w:right="112"/>
        <w:jc w:val="both"/>
      </w:pPr>
      <w:r>
        <w:rPr>
          <w:color w:val="57585B"/>
          <w:lang w:bidi="fr-FR"/>
        </w:rPr>
        <w:t>Voir le tableau 2 en annexe (ci-dessous) qui fournit des questions supplémentaires pour aider les pays à préparer l’analyse du sous-secteur de l’EPE aux fins de l</w:t>
      </w:r>
      <w:r w:rsidR="00D37804">
        <w:rPr>
          <w:color w:val="57585B"/>
          <w:lang w:bidi="fr-FR"/>
        </w:rPr>
        <w:t>’</w:t>
      </w:r>
      <w:r>
        <w:rPr>
          <w:color w:val="57585B"/>
          <w:lang w:bidi="fr-FR"/>
        </w:rPr>
        <w:t>examen annuel/de la revue sectorielle conjointe. Ces questions ont été adaptées depuis le guide sur les revues sectorielles conjointes rédigé par le Partenariat mondial pour l’éducation.</w:t>
      </w:r>
    </w:p>
    <w:p w:rsidR="00E35672" w:rsidRDefault="00E35672">
      <w:pPr>
        <w:pStyle w:val="Textoindependiente"/>
        <w:rPr>
          <w:sz w:val="22"/>
        </w:rPr>
      </w:pPr>
    </w:p>
    <w:p w:rsidR="00E35672" w:rsidRDefault="003125F6">
      <w:pPr>
        <w:pStyle w:val="Ttulo2"/>
        <w:numPr>
          <w:ilvl w:val="0"/>
          <w:numId w:val="20"/>
        </w:numPr>
        <w:tabs>
          <w:tab w:val="left" w:pos="423"/>
        </w:tabs>
        <w:spacing w:before="141" w:line="292" w:lineRule="auto"/>
        <w:ind w:firstLine="0"/>
      </w:pPr>
      <w:r>
        <w:rPr>
          <w:color w:val="913592"/>
          <w:lang w:bidi="fr-FR"/>
        </w:rPr>
        <w:t>Réfléchissez aux stratégies et aux activités en matière d’EPE du plan opérationnel et rassemblez des données qualitatives pour étayer les réalisations et les défis du sous-secteur de l’EPE.</w:t>
      </w:r>
    </w:p>
    <w:p w:rsidR="00E35672" w:rsidRDefault="00E35672">
      <w:pPr>
        <w:pStyle w:val="Textoindependiente"/>
        <w:rPr>
          <w:b/>
          <w:sz w:val="22"/>
        </w:rPr>
      </w:pPr>
    </w:p>
    <w:p w:rsidR="00E35672" w:rsidRDefault="00E35672">
      <w:pPr>
        <w:pStyle w:val="Textoindependiente"/>
        <w:spacing w:before="10"/>
        <w:rPr>
          <w:b/>
          <w:sz w:val="21"/>
        </w:rPr>
      </w:pPr>
    </w:p>
    <w:p w:rsidR="00E35672" w:rsidRDefault="00920408">
      <w:pPr>
        <w:pStyle w:val="Prrafodelista"/>
        <w:numPr>
          <w:ilvl w:val="0"/>
          <w:numId w:val="19"/>
        </w:numPr>
        <w:tabs>
          <w:tab w:val="left" w:pos="681"/>
        </w:tabs>
        <w:spacing w:before="1" w:line="292" w:lineRule="auto"/>
        <w:ind w:right="110"/>
        <w:jc w:val="both"/>
        <w:rPr>
          <w:sz w:val="20"/>
        </w:rPr>
      </w:pPr>
      <w:hyperlink r:id="rId12">
        <w:r w:rsidR="003125F6">
          <w:rPr>
            <w:color w:val="57585B"/>
            <w:sz w:val="20"/>
            <w:u w:val="single" w:color="57585B"/>
            <w:lang w:bidi="fr-FR"/>
          </w:rPr>
          <w:t>L’outil d’analyse du sous-sec</w:t>
        </w:r>
        <w:r w:rsidR="003125F6">
          <w:rPr>
            <w:color w:val="57585B"/>
            <w:sz w:val="20"/>
            <w:u w:val="single" w:color="57585B"/>
            <w:lang w:bidi="fr-FR"/>
          </w:rPr>
          <w:t>t</w:t>
        </w:r>
        <w:r w:rsidR="003125F6">
          <w:rPr>
            <w:color w:val="57585B"/>
            <w:sz w:val="20"/>
            <w:u w:val="single" w:color="57585B"/>
            <w:lang w:bidi="fr-FR"/>
          </w:rPr>
          <w:t xml:space="preserve">eur de l’enseignement </w:t>
        </w:r>
        <w:proofErr w:type="spellStart"/>
        <w:r w:rsidR="003125F6">
          <w:rPr>
            <w:color w:val="57585B"/>
            <w:sz w:val="20"/>
            <w:u w:val="single" w:color="57585B"/>
            <w:lang w:bidi="fr-FR"/>
          </w:rPr>
          <w:t>préprimaire</w:t>
        </w:r>
        <w:proofErr w:type="spellEnd"/>
        <w:r w:rsidR="003125F6">
          <w:rPr>
            <w:color w:val="57585B"/>
            <w:spacing w:val="-8"/>
            <w:sz w:val="20"/>
            <w:lang w:bidi="fr-FR"/>
          </w:rPr>
          <w:t xml:space="preserve"> </w:t>
        </w:r>
      </w:hyperlink>
      <w:r w:rsidR="003125F6">
        <w:rPr>
          <w:color w:val="57585B"/>
          <w:sz w:val="20"/>
          <w:lang w:bidi="fr-FR"/>
        </w:rPr>
        <w:t>est utile pour cet exercice. Il aide à déterminer si les progrès en matière d’EPE au regard du plan opérationnel et du cadre de résultats contribuent au fonctionnement du sous-secteur de l’EPE de manière efficace.</w:t>
      </w:r>
    </w:p>
    <w:p w:rsidR="00E35672" w:rsidRDefault="003125F6">
      <w:pPr>
        <w:pStyle w:val="Prrafodelista"/>
        <w:numPr>
          <w:ilvl w:val="0"/>
          <w:numId w:val="19"/>
        </w:numPr>
        <w:tabs>
          <w:tab w:val="left" w:pos="680"/>
          <w:tab w:val="left" w:pos="681"/>
        </w:tabs>
        <w:spacing w:before="111"/>
        <w:rPr>
          <w:sz w:val="20"/>
        </w:rPr>
      </w:pPr>
      <w:r>
        <w:rPr>
          <w:color w:val="57585B"/>
          <w:sz w:val="20"/>
          <w:lang w:bidi="fr-FR"/>
        </w:rPr>
        <w:t>Cette analyse qualitative vous aidera à mener une réflexion à propos de deux aspects :</w:t>
      </w:r>
    </w:p>
    <w:p w:rsidR="00E35672" w:rsidRDefault="003125F6" w:rsidP="00626321">
      <w:pPr>
        <w:pStyle w:val="Prrafodelista"/>
        <w:numPr>
          <w:ilvl w:val="1"/>
          <w:numId w:val="19"/>
        </w:numPr>
        <w:tabs>
          <w:tab w:val="left" w:pos="1247"/>
          <w:tab w:val="left" w:pos="1248"/>
        </w:tabs>
        <w:spacing w:before="164"/>
        <w:ind w:left="1134"/>
        <w:rPr>
          <w:color w:val="57585B"/>
          <w:sz w:val="20"/>
        </w:rPr>
      </w:pPr>
      <w:proofErr w:type="gramStart"/>
      <w:r>
        <w:rPr>
          <w:color w:val="57585B"/>
          <w:sz w:val="20"/>
          <w:lang w:bidi="fr-FR"/>
        </w:rPr>
        <w:t>déterminer</w:t>
      </w:r>
      <w:proofErr w:type="gramEnd"/>
      <w:r>
        <w:rPr>
          <w:color w:val="57585B"/>
          <w:sz w:val="20"/>
          <w:lang w:bidi="fr-FR"/>
        </w:rPr>
        <w:t xml:space="preserve"> s’il existe des défis à la mise en œuvre des stratégies et des activités en matière d’EPE, et</w:t>
      </w:r>
    </w:p>
    <w:p w:rsidR="00E35672" w:rsidRDefault="003125F6" w:rsidP="00626321">
      <w:pPr>
        <w:pStyle w:val="Prrafodelista"/>
        <w:numPr>
          <w:ilvl w:val="1"/>
          <w:numId w:val="19"/>
        </w:numPr>
        <w:tabs>
          <w:tab w:val="left" w:pos="1247"/>
          <w:tab w:val="left" w:pos="1248"/>
        </w:tabs>
        <w:spacing w:before="163" w:line="292" w:lineRule="auto"/>
        <w:ind w:left="1134" w:right="110"/>
        <w:rPr>
          <w:color w:val="57585B"/>
          <w:sz w:val="20"/>
        </w:rPr>
      </w:pPr>
      <w:proofErr w:type="gramStart"/>
      <w:r>
        <w:rPr>
          <w:color w:val="57585B"/>
          <w:sz w:val="20"/>
          <w:lang w:bidi="fr-FR"/>
        </w:rPr>
        <w:t>déterminer</w:t>
      </w:r>
      <w:proofErr w:type="gramEnd"/>
      <w:r>
        <w:rPr>
          <w:color w:val="57585B"/>
          <w:sz w:val="20"/>
          <w:lang w:bidi="fr-FR"/>
        </w:rPr>
        <w:t xml:space="preserve"> si les composantes en matière d’EPE (stratégies, activités, indicateurs et cibles) doivent être améliorées ou ajustées et identifier les changements de trajectoire pertinents.</w:t>
      </w:r>
    </w:p>
    <w:p w:rsidR="00E35672" w:rsidRDefault="00E35672">
      <w:pPr>
        <w:spacing w:line="292" w:lineRule="auto"/>
        <w:rPr>
          <w:sz w:val="20"/>
        </w:rPr>
        <w:sectPr w:rsidR="00E35672">
          <w:type w:val="continuous"/>
          <w:pgSz w:w="12240" w:h="15840"/>
          <w:pgMar w:top="900" w:right="1020" w:bottom="280" w:left="1020" w:header="720" w:footer="720" w:gutter="0"/>
          <w:cols w:space="720"/>
        </w:sectPr>
      </w:pPr>
    </w:p>
    <w:p w:rsidR="00E35672" w:rsidRDefault="00E35672">
      <w:pPr>
        <w:pStyle w:val="Textoindependiente"/>
      </w:pPr>
    </w:p>
    <w:p w:rsidR="00E35672" w:rsidRDefault="00E35672">
      <w:pPr>
        <w:pStyle w:val="Textoindependiente"/>
        <w:spacing w:before="4"/>
        <w:rPr>
          <w:sz w:val="21"/>
        </w:rPr>
      </w:pPr>
    </w:p>
    <w:p w:rsidR="00E35672" w:rsidRDefault="003125F6">
      <w:pPr>
        <w:pStyle w:val="Ttulo2"/>
        <w:numPr>
          <w:ilvl w:val="0"/>
          <w:numId w:val="20"/>
        </w:numPr>
        <w:tabs>
          <w:tab w:val="left" w:pos="449"/>
        </w:tabs>
        <w:spacing w:before="94" w:line="292" w:lineRule="auto"/>
        <w:ind w:right="111" w:firstLine="0"/>
      </w:pPr>
      <w:proofErr w:type="gramStart"/>
      <w:r>
        <w:rPr>
          <w:color w:val="913592"/>
          <w:lang w:bidi="fr-FR"/>
        </w:rPr>
        <w:t>Consignez les</w:t>
      </w:r>
      <w:proofErr w:type="gramEnd"/>
      <w:r>
        <w:rPr>
          <w:color w:val="913592"/>
          <w:lang w:bidi="fr-FR"/>
        </w:rPr>
        <w:t xml:space="preserve"> constatations/résultats de l’analyse et de l’examen des données ainsi que les réflexions sur les progrès en matière d</w:t>
      </w:r>
      <w:r w:rsidR="00D37804">
        <w:rPr>
          <w:color w:val="913592"/>
          <w:lang w:bidi="fr-FR"/>
        </w:rPr>
        <w:t>’</w:t>
      </w:r>
      <w:r>
        <w:rPr>
          <w:color w:val="913592"/>
          <w:lang w:bidi="fr-FR"/>
        </w:rPr>
        <w:t>EPE dans un rapport sur les performances du secteur de l</w:t>
      </w:r>
      <w:r w:rsidR="00D37804">
        <w:rPr>
          <w:color w:val="913592"/>
          <w:lang w:bidi="fr-FR"/>
        </w:rPr>
        <w:t>’</w:t>
      </w:r>
      <w:r>
        <w:rPr>
          <w:color w:val="913592"/>
          <w:lang w:bidi="fr-FR"/>
        </w:rPr>
        <w:t>éducation.</w:t>
      </w:r>
    </w:p>
    <w:p w:rsidR="00E35672" w:rsidRDefault="00E35672">
      <w:pPr>
        <w:pStyle w:val="Textoindependiente"/>
        <w:rPr>
          <w:b/>
          <w:sz w:val="22"/>
        </w:rPr>
      </w:pPr>
    </w:p>
    <w:p w:rsidR="00E35672" w:rsidRDefault="00E35672">
      <w:pPr>
        <w:pStyle w:val="Textoindependiente"/>
        <w:spacing w:before="3"/>
        <w:rPr>
          <w:b/>
          <w:sz w:val="18"/>
        </w:rPr>
      </w:pPr>
    </w:p>
    <w:p w:rsidR="00E35672" w:rsidRDefault="003125F6">
      <w:pPr>
        <w:pStyle w:val="Prrafodelista"/>
        <w:numPr>
          <w:ilvl w:val="0"/>
          <w:numId w:val="19"/>
        </w:numPr>
        <w:tabs>
          <w:tab w:val="left" w:pos="681"/>
        </w:tabs>
        <w:spacing w:line="292" w:lineRule="auto"/>
        <w:ind w:right="110"/>
        <w:jc w:val="both"/>
        <w:rPr>
          <w:sz w:val="20"/>
        </w:rPr>
      </w:pPr>
      <w:r>
        <w:rPr>
          <w:color w:val="434344"/>
          <w:sz w:val="20"/>
          <w:lang w:bidi="fr-FR"/>
        </w:rPr>
        <w:t>L’établissement d’un rapport sur l’EPE dans le rapport sur la performance de l’éducation devrait s’appuyer sur les données et les réflexions au sujet de la mise en œuvre des stratégies en matière d’EPE puis en faire la synthèse, pour permettre une bonne compréhension :</w:t>
      </w:r>
    </w:p>
    <w:p w:rsidR="00E35672" w:rsidRDefault="003125F6">
      <w:pPr>
        <w:pStyle w:val="Prrafodelista"/>
        <w:numPr>
          <w:ilvl w:val="1"/>
          <w:numId w:val="19"/>
        </w:numPr>
        <w:tabs>
          <w:tab w:val="left" w:pos="1247"/>
          <w:tab w:val="left" w:pos="1248"/>
        </w:tabs>
        <w:spacing w:before="120"/>
        <w:rPr>
          <w:color w:val="58595B"/>
          <w:sz w:val="20"/>
        </w:rPr>
      </w:pPr>
      <w:proofErr w:type="gramStart"/>
      <w:r>
        <w:rPr>
          <w:color w:val="58595B"/>
          <w:sz w:val="20"/>
          <w:lang w:bidi="fr-FR"/>
        </w:rPr>
        <w:t>des</w:t>
      </w:r>
      <w:proofErr w:type="gramEnd"/>
      <w:r>
        <w:rPr>
          <w:color w:val="58595B"/>
          <w:sz w:val="20"/>
          <w:lang w:bidi="fr-FR"/>
        </w:rPr>
        <w:t xml:space="preserve"> progrès et des tendances en matière d’EPE au regard des cibles et des objectifs,</w:t>
      </w:r>
    </w:p>
    <w:p w:rsidR="00E35672" w:rsidRDefault="003125F6">
      <w:pPr>
        <w:pStyle w:val="Prrafodelista"/>
        <w:numPr>
          <w:ilvl w:val="1"/>
          <w:numId w:val="19"/>
        </w:numPr>
        <w:tabs>
          <w:tab w:val="left" w:pos="1247"/>
          <w:tab w:val="left" w:pos="1248"/>
        </w:tabs>
        <w:spacing w:before="163"/>
        <w:rPr>
          <w:color w:val="58595B"/>
          <w:sz w:val="20"/>
        </w:rPr>
      </w:pPr>
      <w:proofErr w:type="gramStart"/>
      <w:r>
        <w:rPr>
          <w:color w:val="58595B"/>
          <w:sz w:val="20"/>
          <w:lang w:bidi="fr-FR"/>
        </w:rPr>
        <w:t>de</w:t>
      </w:r>
      <w:proofErr w:type="gramEnd"/>
      <w:r>
        <w:rPr>
          <w:color w:val="58595B"/>
          <w:sz w:val="20"/>
          <w:lang w:bidi="fr-FR"/>
        </w:rPr>
        <w:t xml:space="preserve"> l’évolution des indicateurs clés de performance (KPI) et des indicateurs de progrès,</w:t>
      </w:r>
    </w:p>
    <w:p w:rsidR="00E35672" w:rsidRDefault="003125F6">
      <w:pPr>
        <w:pStyle w:val="Prrafodelista"/>
        <w:numPr>
          <w:ilvl w:val="1"/>
          <w:numId w:val="19"/>
        </w:numPr>
        <w:tabs>
          <w:tab w:val="left" w:pos="1247"/>
          <w:tab w:val="left" w:pos="1248"/>
        </w:tabs>
        <w:spacing w:before="164"/>
        <w:rPr>
          <w:color w:val="58595B"/>
          <w:sz w:val="20"/>
        </w:rPr>
      </w:pPr>
      <w:proofErr w:type="gramStart"/>
      <w:r>
        <w:rPr>
          <w:color w:val="58595B"/>
          <w:sz w:val="20"/>
          <w:lang w:bidi="fr-FR"/>
        </w:rPr>
        <w:t>des</w:t>
      </w:r>
      <w:proofErr w:type="gramEnd"/>
      <w:r>
        <w:rPr>
          <w:color w:val="58595B"/>
          <w:sz w:val="20"/>
          <w:lang w:bidi="fr-FR"/>
        </w:rPr>
        <w:t xml:space="preserve"> dépenses et des tendances financières pour le sous-secteur de l’EPE,</w:t>
      </w:r>
    </w:p>
    <w:p w:rsidR="00E35672" w:rsidRDefault="003125F6">
      <w:pPr>
        <w:pStyle w:val="Prrafodelista"/>
        <w:numPr>
          <w:ilvl w:val="1"/>
          <w:numId w:val="19"/>
        </w:numPr>
        <w:tabs>
          <w:tab w:val="left" w:pos="1247"/>
          <w:tab w:val="left" w:pos="1248"/>
        </w:tabs>
        <w:spacing w:before="163"/>
        <w:rPr>
          <w:color w:val="58595B"/>
          <w:sz w:val="20"/>
        </w:rPr>
      </w:pPr>
      <w:proofErr w:type="gramStart"/>
      <w:r>
        <w:rPr>
          <w:color w:val="58595B"/>
          <w:sz w:val="20"/>
          <w:lang w:bidi="fr-FR"/>
        </w:rPr>
        <w:t>de</w:t>
      </w:r>
      <w:proofErr w:type="gramEnd"/>
      <w:r>
        <w:rPr>
          <w:color w:val="58595B"/>
          <w:sz w:val="20"/>
          <w:lang w:bidi="fr-FR"/>
        </w:rPr>
        <w:t xml:space="preserve"> l’analyse critique, à la fois des réalisations et des obstacles à l’EPE au niveau opérationnel,</w:t>
      </w:r>
    </w:p>
    <w:p w:rsidR="00E35672" w:rsidRDefault="003125F6">
      <w:pPr>
        <w:pStyle w:val="Prrafodelista"/>
        <w:numPr>
          <w:ilvl w:val="1"/>
          <w:numId w:val="19"/>
        </w:numPr>
        <w:tabs>
          <w:tab w:val="left" w:pos="1247"/>
          <w:tab w:val="left" w:pos="1248"/>
        </w:tabs>
        <w:spacing w:before="164"/>
        <w:rPr>
          <w:color w:val="58595B"/>
          <w:sz w:val="20"/>
        </w:rPr>
      </w:pPr>
      <w:proofErr w:type="gramStart"/>
      <w:r>
        <w:rPr>
          <w:color w:val="58595B"/>
          <w:sz w:val="20"/>
          <w:lang w:bidi="fr-FR"/>
        </w:rPr>
        <w:t>des</w:t>
      </w:r>
      <w:proofErr w:type="gramEnd"/>
      <w:r>
        <w:rPr>
          <w:color w:val="58595B"/>
          <w:sz w:val="20"/>
          <w:lang w:bidi="fr-FR"/>
        </w:rPr>
        <w:t xml:space="preserve"> progrès et des résultats de l’EPE en ce qui concerne la mise en œuvre des recommandations tirées de précédentes revues sectorielles conjointes (le cas échéant),</w:t>
      </w:r>
    </w:p>
    <w:p w:rsidR="00E35672" w:rsidRDefault="003125F6">
      <w:pPr>
        <w:pStyle w:val="Prrafodelista"/>
        <w:numPr>
          <w:ilvl w:val="1"/>
          <w:numId w:val="19"/>
        </w:numPr>
        <w:tabs>
          <w:tab w:val="left" w:pos="1247"/>
          <w:tab w:val="left" w:pos="1248"/>
        </w:tabs>
        <w:spacing w:before="163"/>
        <w:rPr>
          <w:color w:val="58595B"/>
          <w:sz w:val="20"/>
        </w:rPr>
      </w:pPr>
      <w:proofErr w:type="gramStart"/>
      <w:r>
        <w:rPr>
          <w:color w:val="58595B"/>
          <w:sz w:val="20"/>
          <w:lang w:bidi="fr-FR"/>
        </w:rPr>
        <w:t>les</w:t>
      </w:r>
      <w:proofErr w:type="gramEnd"/>
      <w:r>
        <w:rPr>
          <w:color w:val="58595B"/>
          <w:sz w:val="20"/>
          <w:lang w:bidi="fr-FR"/>
        </w:rPr>
        <w:t xml:space="preserve"> recommandations pour surmonter les obstacles, ajuster les activités ou les cibles, etc.,</w:t>
      </w:r>
    </w:p>
    <w:p w:rsidR="00E35672" w:rsidRDefault="003125F6">
      <w:pPr>
        <w:pStyle w:val="Prrafodelista"/>
        <w:numPr>
          <w:ilvl w:val="1"/>
          <w:numId w:val="19"/>
        </w:numPr>
        <w:tabs>
          <w:tab w:val="left" w:pos="1247"/>
          <w:tab w:val="left" w:pos="1248"/>
        </w:tabs>
        <w:spacing w:before="163"/>
        <w:rPr>
          <w:color w:val="58595B"/>
          <w:sz w:val="20"/>
        </w:rPr>
      </w:pPr>
      <w:proofErr w:type="gramStart"/>
      <w:r>
        <w:rPr>
          <w:color w:val="58595B"/>
          <w:sz w:val="20"/>
          <w:lang w:bidi="fr-FR"/>
        </w:rPr>
        <w:t>les</w:t>
      </w:r>
      <w:proofErr w:type="gramEnd"/>
      <w:r>
        <w:rPr>
          <w:color w:val="58595B"/>
          <w:sz w:val="20"/>
          <w:lang w:bidi="fr-FR"/>
        </w:rPr>
        <w:t xml:space="preserve"> risques de la mise en œuvre.</w:t>
      </w:r>
    </w:p>
    <w:p w:rsidR="00E35672" w:rsidRDefault="00E35672">
      <w:pPr>
        <w:pStyle w:val="Textoindependiente"/>
        <w:rPr>
          <w:sz w:val="22"/>
        </w:rPr>
      </w:pPr>
    </w:p>
    <w:p w:rsidR="00E35672" w:rsidRDefault="00E35672">
      <w:pPr>
        <w:pStyle w:val="Textoindependiente"/>
        <w:spacing w:before="2"/>
        <w:rPr>
          <w:sz w:val="27"/>
        </w:rPr>
      </w:pPr>
    </w:p>
    <w:p w:rsidR="00E35672" w:rsidRDefault="003125F6">
      <w:pPr>
        <w:pStyle w:val="Prrafodelista"/>
        <w:numPr>
          <w:ilvl w:val="0"/>
          <w:numId w:val="19"/>
        </w:numPr>
        <w:tabs>
          <w:tab w:val="left" w:pos="681"/>
        </w:tabs>
        <w:spacing w:line="292" w:lineRule="auto"/>
        <w:ind w:right="112"/>
        <w:jc w:val="both"/>
        <w:rPr>
          <w:sz w:val="20"/>
        </w:rPr>
      </w:pPr>
      <w:r>
        <w:rPr>
          <w:color w:val="434344"/>
          <w:sz w:val="20"/>
          <w:lang w:bidi="fr-FR"/>
        </w:rPr>
        <w:t>Le rapport sur la performance de l’éducation n’est pas uniquement destiné aux parties prenantes, aux membres du groupe de travail technique sur l’EPE, aux partenaires et aux donateurs. Il a pour vocation d’être mis à la disposition de l’ensemble de la communauté éducative nationale, y compris les parents/personnes s’occupant d’enfants et les élèves. Par conséquent, présenter la performance et les progrès du sous-secteur de l’EPE de manière conviviale et attrayante (par exemple en utilisant des graphiques, des tableaux et des visuels clairs) peut aider à atteindre un public plus large.</w:t>
      </w:r>
    </w:p>
    <w:p w:rsidR="00E35672" w:rsidRDefault="00E35672">
      <w:pPr>
        <w:pStyle w:val="Textoindependiente"/>
        <w:rPr>
          <w:sz w:val="22"/>
        </w:rPr>
      </w:pPr>
    </w:p>
    <w:p w:rsidR="00E35672" w:rsidRDefault="00E35672">
      <w:pPr>
        <w:pStyle w:val="Textoindependiente"/>
        <w:spacing w:before="9"/>
        <w:rPr>
          <w:sz w:val="21"/>
        </w:rPr>
      </w:pPr>
    </w:p>
    <w:p w:rsidR="00E35672" w:rsidRDefault="003125F6">
      <w:pPr>
        <w:pStyle w:val="Prrafodelista"/>
        <w:numPr>
          <w:ilvl w:val="0"/>
          <w:numId w:val="19"/>
        </w:numPr>
        <w:tabs>
          <w:tab w:val="left" w:pos="680"/>
          <w:tab w:val="left" w:pos="681"/>
        </w:tabs>
        <w:rPr>
          <w:sz w:val="20"/>
        </w:rPr>
      </w:pPr>
      <w:r>
        <w:rPr>
          <w:color w:val="434344"/>
          <w:sz w:val="20"/>
          <w:lang w:bidi="fr-FR"/>
        </w:rPr>
        <w:t>L’établissement de rapports sur les informations financières en matière d’EPE devrait :</w:t>
      </w:r>
    </w:p>
    <w:p w:rsidR="00E35672" w:rsidRDefault="003125F6">
      <w:pPr>
        <w:pStyle w:val="Prrafodelista"/>
        <w:numPr>
          <w:ilvl w:val="1"/>
          <w:numId w:val="19"/>
        </w:numPr>
        <w:tabs>
          <w:tab w:val="left" w:pos="1247"/>
          <w:tab w:val="left" w:pos="1248"/>
        </w:tabs>
        <w:spacing w:before="164" w:line="292" w:lineRule="auto"/>
        <w:ind w:right="113"/>
        <w:rPr>
          <w:color w:val="58595B"/>
          <w:sz w:val="20"/>
        </w:rPr>
      </w:pPr>
      <w:proofErr w:type="gramStart"/>
      <w:r>
        <w:rPr>
          <w:color w:val="434344"/>
          <w:sz w:val="20"/>
          <w:lang w:bidi="fr-FR"/>
        </w:rPr>
        <w:t>inclure</w:t>
      </w:r>
      <w:proofErr w:type="gramEnd"/>
      <w:r>
        <w:rPr>
          <w:color w:val="434344"/>
          <w:sz w:val="20"/>
          <w:lang w:bidi="fr-FR"/>
        </w:rPr>
        <w:t xml:space="preserve"> le détail des dépenses au niveau du programme/de l’activité, telles que couvertes par le financement national et externe,</w:t>
      </w:r>
    </w:p>
    <w:p w:rsidR="00E35672" w:rsidRDefault="003125F6">
      <w:pPr>
        <w:pStyle w:val="Prrafodelista"/>
        <w:numPr>
          <w:ilvl w:val="1"/>
          <w:numId w:val="19"/>
        </w:numPr>
        <w:tabs>
          <w:tab w:val="left" w:pos="1247"/>
          <w:tab w:val="left" w:pos="1248"/>
        </w:tabs>
        <w:spacing w:before="112" w:line="292" w:lineRule="auto"/>
        <w:ind w:right="114"/>
        <w:rPr>
          <w:color w:val="58595B"/>
          <w:sz w:val="20"/>
        </w:rPr>
      </w:pPr>
      <w:proofErr w:type="gramStart"/>
      <w:r>
        <w:rPr>
          <w:color w:val="434344"/>
          <w:sz w:val="20"/>
          <w:lang w:bidi="fr-FR"/>
        </w:rPr>
        <w:t>couvrir</w:t>
      </w:r>
      <w:proofErr w:type="gramEnd"/>
      <w:r>
        <w:rPr>
          <w:color w:val="434344"/>
          <w:sz w:val="20"/>
          <w:lang w:bidi="fr-FR"/>
        </w:rPr>
        <w:t xml:space="preserve"> toute la période examinée au niveau du budget national et, si possible, inclure également les dépenses au niveau du budget régional,</w:t>
      </w:r>
    </w:p>
    <w:p w:rsidR="00E35672" w:rsidRDefault="003125F6">
      <w:pPr>
        <w:pStyle w:val="Prrafodelista"/>
        <w:numPr>
          <w:ilvl w:val="1"/>
          <w:numId w:val="19"/>
        </w:numPr>
        <w:tabs>
          <w:tab w:val="left" w:pos="1247"/>
          <w:tab w:val="left" w:pos="1248"/>
        </w:tabs>
        <w:spacing w:before="112" w:line="292" w:lineRule="auto"/>
        <w:ind w:right="114"/>
        <w:rPr>
          <w:color w:val="58595B"/>
          <w:sz w:val="20"/>
        </w:rPr>
      </w:pPr>
      <w:proofErr w:type="gramStart"/>
      <w:r>
        <w:rPr>
          <w:color w:val="434344"/>
          <w:sz w:val="20"/>
          <w:lang w:bidi="fr-FR"/>
        </w:rPr>
        <w:t>inclure</w:t>
      </w:r>
      <w:proofErr w:type="gramEnd"/>
      <w:r>
        <w:rPr>
          <w:color w:val="434344"/>
          <w:sz w:val="20"/>
          <w:lang w:bidi="fr-FR"/>
        </w:rPr>
        <w:t xml:space="preserve"> le détail des affectations/dépenses en matière d’EPE au regard des projections aux niveaux national et décentralisé,</w:t>
      </w:r>
    </w:p>
    <w:p w:rsidR="00E35672" w:rsidRDefault="003125F6">
      <w:pPr>
        <w:pStyle w:val="Prrafodelista"/>
        <w:numPr>
          <w:ilvl w:val="1"/>
          <w:numId w:val="19"/>
        </w:numPr>
        <w:tabs>
          <w:tab w:val="left" w:pos="1247"/>
          <w:tab w:val="left" w:pos="1248"/>
        </w:tabs>
        <w:spacing w:before="112" w:line="292" w:lineRule="auto"/>
        <w:ind w:right="114"/>
        <w:rPr>
          <w:color w:val="58595B"/>
          <w:sz w:val="20"/>
        </w:rPr>
      </w:pPr>
      <w:proofErr w:type="gramStart"/>
      <w:r>
        <w:rPr>
          <w:color w:val="434344"/>
          <w:sz w:val="20"/>
          <w:lang w:bidi="fr-FR"/>
        </w:rPr>
        <w:t>si</w:t>
      </w:r>
      <w:proofErr w:type="gramEnd"/>
      <w:r>
        <w:rPr>
          <w:color w:val="434344"/>
          <w:sz w:val="20"/>
          <w:lang w:bidi="fr-FR"/>
        </w:rPr>
        <w:t xml:space="preserve"> possible, inclure les dépenses par habitant ventilées par région afin de mesurer l</w:t>
      </w:r>
      <w:r w:rsidR="00D37804">
        <w:rPr>
          <w:color w:val="434344"/>
          <w:sz w:val="20"/>
          <w:lang w:bidi="fr-FR"/>
        </w:rPr>
        <w:t>’</w:t>
      </w:r>
      <w:r>
        <w:rPr>
          <w:color w:val="434344"/>
          <w:sz w:val="20"/>
          <w:lang w:bidi="fr-FR"/>
        </w:rPr>
        <w:t>équité et la qualité.</w:t>
      </w:r>
    </w:p>
    <w:p w:rsidR="00E35672" w:rsidRDefault="00E35672">
      <w:pPr>
        <w:spacing w:line="292" w:lineRule="auto"/>
        <w:rPr>
          <w:sz w:val="20"/>
        </w:rPr>
      </w:pPr>
    </w:p>
    <w:p w:rsidR="006449B9" w:rsidRDefault="006449B9">
      <w:pPr>
        <w:spacing w:line="292" w:lineRule="auto"/>
        <w:rPr>
          <w:sz w:val="20"/>
        </w:rPr>
        <w:sectPr w:rsidR="006449B9">
          <w:headerReference w:type="default" r:id="rId13"/>
          <w:pgSz w:w="12240" w:h="15840"/>
          <w:pgMar w:top="900" w:right="1020" w:bottom="280" w:left="1020" w:header="716" w:footer="0" w:gutter="0"/>
          <w:pgNumType w:start="2"/>
          <w:cols w:space="720"/>
        </w:sectPr>
      </w:pPr>
    </w:p>
    <w:p w:rsidR="00E35672" w:rsidRDefault="00E35672">
      <w:pPr>
        <w:pStyle w:val="Textoindependiente"/>
        <w:spacing w:before="10"/>
        <w:rPr>
          <w:sz w:val="18"/>
        </w:rPr>
      </w:pPr>
    </w:p>
    <w:p w:rsidR="00E35672" w:rsidRDefault="00626321">
      <w:pPr>
        <w:pStyle w:val="Textoindependiente"/>
        <w:spacing w:line="20" w:lineRule="exact"/>
        <w:ind w:left="109"/>
        <w:rPr>
          <w:sz w:val="2"/>
        </w:rPr>
      </w:pPr>
      <w:r>
        <w:rPr>
          <w:noProof/>
          <w:sz w:val="2"/>
          <w:lang w:bidi="fr-FR"/>
        </w:rPr>
        <mc:AlternateContent>
          <mc:Choice Requires="wpg">
            <w:drawing>
              <wp:inline distT="0" distB="0" distL="0" distR="0" wp14:anchorId="3A1F9DAC">
                <wp:extent cx="6332855" cy="4445"/>
                <wp:effectExtent l="0" t="0" r="4445" b="0"/>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4445"/>
                          <a:chOff x="0" y="0"/>
                          <a:chExt cx="9973" cy="7"/>
                        </a:xfrm>
                      </wpg:grpSpPr>
                      <wps:wsp>
                        <wps:cNvPr id="16" name="Line 17"/>
                        <wps:cNvCnPr>
                          <a:cxnSpLocks/>
                        </wps:cNvCnPr>
                        <wps:spPr bwMode="auto">
                          <a:xfrm>
                            <a:off x="0" y="3"/>
                            <a:ext cx="9972"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01B6B4" id="Group 16" o:spid="_x0000_s1026" style="width:498.65pt;height:.35pt;mso-position-horizontal-relative:char;mso-position-vertical-relative:line" coordsize="997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">
                <v:line id="Line 17" o:spid="_x0000_s1027" style="position:absolute;visibility:visible;mso-wrap-style:square" from="0,3" to="997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" strokecolor="#939598" strokeweight=".35pt">
                  <o:lock v:ext="edit" shapetype="f"/>
                </v:line>
                <w10:anchorlock/>
              </v:group>
            </w:pict>
          </mc:Fallback>
        </mc:AlternateContent>
      </w:r>
    </w:p>
    <w:p w:rsidR="00E35672" w:rsidRDefault="00E35672">
      <w:pPr>
        <w:pStyle w:val="Textoindependiente"/>
        <w:spacing w:before="10"/>
        <w:rPr>
          <w:sz w:val="3"/>
        </w:rPr>
      </w:pPr>
    </w:p>
    <w:p w:rsidR="00E35672" w:rsidRDefault="00626321">
      <w:pPr>
        <w:pStyle w:val="Textoindependiente"/>
        <w:ind w:left="98"/>
      </w:pPr>
      <w:r>
        <w:rPr>
          <w:noProof/>
          <w:lang w:bidi="fr-FR"/>
        </w:rPr>
        <mc:AlternateContent>
          <mc:Choice Requires="wpg">
            <w:drawing>
              <wp:inline distT="0" distB="0" distL="0" distR="0" wp14:anchorId="4E272E9C">
                <wp:extent cx="6332855" cy="263525"/>
                <wp:effectExtent l="0" t="0" r="4445" b="3175"/>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263525"/>
                          <a:chOff x="0" y="0"/>
                          <a:chExt cx="9973" cy="415"/>
                        </a:xfrm>
                      </wpg:grpSpPr>
                      <wps:wsp>
                        <wps:cNvPr id="12" name="Line 13"/>
                        <wps:cNvCnPr>
                          <a:cxnSpLocks/>
                        </wps:cNvCnPr>
                        <wps:spPr bwMode="auto">
                          <a:xfrm>
                            <a:off x="0" y="411"/>
                            <a:ext cx="9972"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3" name="Picture 1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 cy="355"/>
                          </a:xfrm>
                          <a:prstGeom prst="rect">
                            <a:avLst/>
                          </a:prstGeom>
                          <a:noFill/>
                          <a:extLst>
                            <a:ext uri="{909E8E84-426E-40DD-AFC4-6F175D3DCCD1}">
                              <a14:hiddenFill xmlns:a14="http://schemas.microsoft.com/office/drawing/2010/main">
                                <a:solidFill>
                                  <a:srgbClr val="FFFFFF"/>
                                </a:solidFill>
                              </a14:hiddenFill>
                            </a:ext>
                          </a:extLst>
                        </pic:spPr>
                      </pic:pic>
                      <wps:wsp>
                        <wps:cNvPr id="14" name="Text Box 15"/>
                        <wps:cNvSpPr txBox="1">
                          <a:spLocks/>
                        </wps:cNvSpPr>
                        <wps:spPr bwMode="auto">
                          <a:xfrm>
                            <a:off x="0" y="0"/>
                            <a:ext cx="9973"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672" w:rsidRDefault="003125F6">
                              <w:pPr>
                                <w:spacing w:before="24"/>
                                <w:ind w:left="680"/>
                                <w:rPr>
                                  <w:b/>
                                  <w:sz w:val="24"/>
                                </w:rPr>
                              </w:pPr>
                              <w:r>
                                <w:rPr>
                                  <w:b/>
                                  <w:color w:val="58595B"/>
                                  <w:sz w:val="24"/>
                                  <w:lang w:bidi="fr-FR"/>
                                </w:rPr>
                                <w:t>Recommandation 2</w:t>
                              </w:r>
                            </w:p>
                          </w:txbxContent>
                        </wps:txbx>
                        <wps:bodyPr rot="0" vert="horz" wrap="square" lIns="0" tIns="0" rIns="0" bIns="0" anchor="t" anchorCtr="0" upright="1">
                          <a:noAutofit/>
                        </wps:bodyPr>
                      </wps:wsp>
                    </wpg:wgp>
                  </a:graphicData>
                </a:graphic>
              </wp:inline>
            </w:drawing>
          </mc:Choice>
          <mc:Fallback>
            <w:pict>
              <v:group w14:anchorId="4E272E9C" id="Group 12" o:spid="_x0000_s1031" style="width:498.65pt;height:20.75pt;mso-position-horizontal-relative:char;mso-position-vertical-relative:line" coordsize="9973,4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">
                <v:line id="Line 13" o:spid="_x0000_s1032" style="position:absolute;visibility:visible;mso-wrap-style:square" from="0,411" to="9972,41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" strokecolor="#939598" strokeweight=".35pt">
                  <o:lock v:ext="edit" shapetype="f"/>
                </v:line>
                <v:shape id="Picture 14" o:spid="_x0000_s1033" type="#_x0000_t75" style="position:absolute;width:569;height:35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">
                  <v:imagedata r:id="rId11" o:title=""/>
                  <o:lock v:ext="edit" aspectratio="f"/>
                </v:shape>
                <v:shape id="Text Box 15" o:spid="_x0000_s1034" type="#_x0000_t202" style="position:absolute;width:9973;height:41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" filled="f" stroked="f">
                  <v:path arrowok="t"/>
                  <v:textbox inset="0,0,0,0">
                    <w:txbxContent>
                      <w:p w:rsidR="00E35672" w:rsidRDefault="003125F6">
                        <w:pPr>
                          <w:spacing w:before="24"/>
                          <w:ind w:left="680"/>
                          <w:rPr>
                            <w:b/>
                            <w:sz w:val="24"/>
                          </w:rPr>
                        </w:pPr>
                        <w:r>
                          <w:rPr>
                            <w:b/>
                            <w:color w:val="58595B"/>
                            <w:sz w:val="24"/>
                            <w:lang w:bidi="fr-FR"/>
                          </w:rPr>
                          <w:t>Recommandation 2</w:t>
                        </w:r>
                      </w:p>
                    </w:txbxContent>
                  </v:textbox>
                </v:shape>
                <w10:anchorlock/>
              </v:group>
            </w:pict>
          </mc:Fallback>
        </mc:AlternateContent>
      </w:r>
    </w:p>
    <w:p w:rsidR="00E35672" w:rsidRDefault="003125F6">
      <w:pPr>
        <w:pStyle w:val="Textoindependiente"/>
        <w:spacing w:before="92" w:line="292" w:lineRule="auto"/>
        <w:ind w:left="113" w:right="110"/>
        <w:jc w:val="both"/>
      </w:pPr>
      <w:r>
        <w:rPr>
          <w:color w:val="434344"/>
          <w:lang w:bidi="fr-FR"/>
        </w:rPr>
        <w:t>Veillez à ce que les parties prenantes du sous-secteur de l’EPE connaissent les processus des examens annuels et leurs caractéristiques. Cette connaissance est nécessaire pour prendre part efficacement à l’élaboration de la structure et à l’orientation de l’examen annuel, notamment la façon dont le sous-secteur de l’EPE sera représenté.</w:t>
      </w:r>
    </w:p>
    <w:p w:rsidR="00E35672" w:rsidRDefault="00E35672">
      <w:pPr>
        <w:pStyle w:val="Textoindependiente"/>
        <w:rPr>
          <w:sz w:val="22"/>
        </w:rPr>
      </w:pPr>
    </w:p>
    <w:p w:rsidR="00E35672" w:rsidRDefault="00E35672">
      <w:pPr>
        <w:pStyle w:val="Textoindependiente"/>
        <w:spacing w:before="10"/>
        <w:rPr>
          <w:sz w:val="21"/>
        </w:rPr>
      </w:pPr>
    </w:p>
    <w:p w:rsidR="00E35672" w:rsidRDefault="003125F6">
      <w:pPr>
        <w:pStyle w:val="Prrafodelista"/>
        <w:numPr>
          <w:ilvl w:val="0"/>
          <w:numId w:val="19"/>
        </w:numPr>
        <w:tabs>
          <w:tab w:val="left" w:pos="681"/>
        </w:tabs>
        <w:spacing w:before="1" w:line="292" w:lineRule="auto"/>
        <w:ind w:right="111"/>
        <w:jc w:val="both"/>
        <w:rPr>
          <w:sz w:val="20"/>
        </w:rPr>
      </w:pPr>
      <w:r>
        <w:rPr>
          <w:color w:val="434344"/>
          <w:sz w:val="20"/>
          <w:lang w:bidi="fr-FR"/>
        </w:rPr>
        <w:t>De plus, elle permet de garantir que le processus et les séances d’examen comprennent l’EPE comme domaine d’intervention, soit lors de séances distinctes ou au sein de séances thématiques.</w:t>
      </w:r>
    </w:p>
    <w:p w:rsidR="00E35672" w:rsidRDefault="00E35672">
      <w:pPr>
        <w:pStyle w:val="Textoindependiente"/>
        <w:rPr>
          <w:sz w:val="22"/>
        </w:rPr>
      </w:pPr>
    </w:p>
    <w:p w:rsidR="00E35672" w:rsidRDefault="00E35672">
      <w:pPr>
        <w:pStyle w:val="Textoindependiente"/>
        <w:spacing w:before="11"/>
        <w:rPr>
          <w:sz w:val="21"/>
        </w:rPr>
      </w:pPr>
    </w:p>
    <w:p w:rsidR="00E35672" w:rsidRDefault="003125F6">
      <w:pPr>
        <w:pStyle w:val="Prrafodelista"/>
        <w:numPr>
          <w:ilvl w:val="0"/>
          <w:numId w:val="19"/>
        </w:numPr>
        <w:tabs>
          <w:tab w:val="left" w:pos="681"/>
        </w:tabs>
        <w:spacing w:line="292" w:lineRule="auto"/>
        <w:ind w:right="112"/>
        <w:jc w:val="both"/>
        <w:rPr>
          <w:sz w:val="20"/>
        </w:rPr>
      </w:pPr>
      <w:r>
        <w:rPr>
          <w:color w:val="434344"/>
          <w:sz w:val="20"/>
          <w:lang w:bidi="fr-FR"/>
        </w:rPr>
        <w:t>La plupart du temps, le département de la planification des Ministères de l’éducation décide de l’organisation des séances d’examen, en s’aidant des contributions de partenaires (comme les membres du groupe local de l’éducation, des ONG</w:t>
      </w:r>
      <w:r w:rsidR="00D37804">
        <w:rPr>
          <w:color w:val="434344"/>
          <w:sz w:val="20"/>
          <w:lang w:bidi="fr-FR"/>
        </w:rPr>
        <w:t>,</w:t>
      </w:r>
      <w:r>
        <w:rPr>
          <w:color w:val="434344"/>
          <w:sz w:val="20"/>
          <w:lang w:bidi="fr-FR"/>
        </w:rPr>
        <w:t xml:space="preserve"> etc.).</w:t>
      </w:r>
    </w:p>
    <w:p w:rsidR="00E35672" w:rsidRDefault="00E35672">
      <w:pPr>
        <w:pStyle w:val="Textoindependiente"/>
        <w:rPr>
          <w:sz w:val="22"/>
        </w:rPr>
      </w:pPr>
    </w:p>
    <w:p w:rsidR="00E35672" w:rsidRDefault="00E35672">
      <w:pPr>
        <w:pStyle w:val="Textoindependiente"/>
        <w:spacing w:before="10"/>
        <w:rPr>
          <w:sz w:val="21"/>
        </w:rPr>
      </w:pPr>
    </w:p>
    <w:p w:rsidR="00E35672" w:rsidRDefault="003125F6">
      <w:pPr>
        <w:pStyle w:val="Prrafodelista"/>
        <w:numPr>
          <w:ilvl w:val="0"/>
          <w:numId w:val="19"/>
        </w:numPr>
        <w:tabs>
          <w:tab w:val="left" w:pos="681"/>
        </w:tabs>
        <w:spacing w:line="292" w:lineRule="auto"/>
        <w:ind w:right="112"/>
        <w:jc w:val="both"/>
        <w:rPr>
          <w:sz w:val="20"/>
        </w:rPr>
      </w:pPr>
      <w:r>
        <w:rPr>
          <w:color w:val="434344"/>
          <w:sz w:val="20"/>
          <w:lang w:bidi="fr-FR"/>
        </w:rPr>
        <w:t>Le groupe de travail technique sur l’EPE devra intervenir à la fois auprès du Ministère de l’éducation et des partenaires du développement qui soutiennent directement les efforts de planification du gouvernement. Il devra ainsi veiller à ce que le sous-secteur de l’EPE soit mis en évidence et bénéficie de l’attention requise lors des séances.</w:t>
      </w:r>
    </w:p>
    <w:p w:rsidR="00E35672" w:rsidRDefault="00E35672">
      <w:pPr>
        <w:pStyle w:val="Textoindependiente"/>
        <w:rPr>
          <w:sz w:val="22"/>
        </w:rPr>
      </w:pPr>
    </w:p>
    <w:p w:rsidR="00E35672" w:rsidRDefault="00E35672">
      <w:pPr>
        <w:pStyle w:val="Textoindependiente"/>
        <w:spacing w:before="11"/>
        <w:rPr>
          <w:sz w:val="21"/>
        </w:rPr>
      </w:pPr>
    </w:p>
    <w:p w:rsidR="00E35672" w:rsidRDefault="003125F6">
      <w:pPr>
        <w:pStyle w:val="Prrafodelista"/>
        <w:numPr>
          <w:ilvl w:val="0"/>
          <w:numId w:val="19"/>
        </w:numPr>
        <w:tabs>
          <w:tab w:val="left" w:pos="681"/>
        </w:tabs>
        <w:spacing w:line="292" w:lineRule="auto"/>
        <w:ind w:right="112"/>
        <w:jc w:val="both"/>
        <w:rPr>
          <w:sz w:val="20"/>
        </w:rPr>
      </w:pPr>
      <w:r>
        <w:rPr>
          <w:color w:val="434344"/>
          <w:sz w:val="20"/>
          <w:lang w:bidi="fr-FR"/>
        </w:rPr>
        <w:t>Selon l’organisation des réunions de l’examen annuel, il se peut que tous les membres du groupe de travail technique sur l’EPE ne puissent pas y prendre part. Dans ce cas, il sera important que les membres se mettent d’accord et nomment des représentants qui assisteront aux réunions.</w:t>
      </w:r>
    </w:p>
    <w:p w:rsidR="00E35672" w:rsidRDefault="00E35672">
      <w:pPr>
        <w:pStyle w:val="Textoindependiente"/>
        <w:rPr>
          <w:sz w:val="22"/>
        </w:rPr>
      </w:pPr>
    </w:p>
    <w:p w:rsidR="00E35672" w:rsidRDefault="00E35672">
      <w:pPr>
        <w:pStyle w:val="Textoindependiente"/>
        <w:spacing w:before="10"/>
        <w:rPr>
          <w:sz w:val="21"/>
        </w:rPr>
      </w:pPr>
    </w:p>
    <w:p w:rsidR="00E35672" w:rsidRDefault="003125F6">
      <w:pPr>
        <w:pStyle w:val="Prrafodelista"/>
        <w:numPr>
          <w:ilvl w:val="0"/>
          <w:numId w:val="19"/>
        </w:numPr>
        <w:tabs>
          <w:tab w:val="left" w:pos="681"/>
        </w:tabs>
        <w:spacing w:before="1" w:line="292" w:lineRule="auto"/>
        <w:ind w:right="109"/>
        <w:jc w:val="both"/>
        <w:rPr>
          <w:sz w:val="20"/>
        </w:rPr>
      </w:pPr>
      <w:r>
        <w:rPr>
          <w:color w:val="434344"/>
          <w:sz w:val="20"/>
          <w:lang w:bidi="fr-FR"/>
        </w:rPr>
        <w:t>Si l’EPE est déjà bien représentée dans le cadre de résultats du plan sectoriel d’éducation, cela influencera également la manière dont la structure des séances d’examen sera déterminée. En résumé, inclure l</w:t>
      </w:r>
      <w:r w:rsidR="00D37804">
        <w:rPr>
          <w:color w:val="434344"/>
          <w:sz w:val="20"/>
          <w:lang w:bidi="fr-FR"/>
        </w:rPr>
        <w:t>’</w:t>
      </w:r>
      <w:r>
        <w:rPr>
          <w:color w:val="434344"/>
          <w:sz w:val="20"/>
          <w:lang w:bidi="fr-FR"/>
        </w:rPr>
        <w:t>EPE comme domaine d</w:t>
      </w:r>
      <w:r w:rsidR="00D37804">
        <w:rPr>
          <w:color w:val="434344"/>
          <w:sz w:val="20"/>
          <w:lang w:bidi="fr-FR"/>
        </w:rPr>
        <w:t>’</w:t>
      </w:r>
      <w:r>
        <w:rPr>
          <w:color w:val="434344"/>
          <w:sz w:val="20"/>
          <w:lang w:bidi="fr-FR"/>
        </w:rPr>
        <w:t>intervention tout au long de l</w:t>
      </w:r>
      <w:r w:rsidR="00D37804">
        <w:rPr>
          <w:color w:val="434344"/>
          <w:sz w:val="20"/>
          <w:lang w:bidi="fr-FR"/>
        </w:rPr>
        <w:t>’</w:t>
      </w:r>
      <w:r>
        <w:rPr>
          <w:color w:val="434344"/>
          <w:sz w:val="20"/>
          <w:lang w:bidi="fr-FR"/>
        </w:rPr>
        <w:t>examen annuel résulte de la combinaison de nombreux facteurs, tels que le plaidoyer, le leadership, la volonté politique et le positionnement stratégique dans le cadre de résultats du plan sectoriel d’éducation.</w:t>
      </w:r>
    </w:p>
    <w:p w:rsidR="00E35672" w:rsidRDefault="00E35672">
      <w:pPr>
        <w:pStyle w:val="Textoindependiente"/>
        <w:rPr>
          <w:sz w:val="22"/>
        </w:rPr>
      </w:pPr>
    </w:p>
    <w:p w:rsidR="00E35672" w:rsidRDefault="00E35672">
      <w:pPr>
        <w:pStyle w:val="Textoindependiente"/>
        <w:spacing w:before="9"/>
        <w:rPr>
          <w:sz w:val="21"/>
        </w:rPr>
      </w:pPr>
    </w:p>
    <w:p w:rsidR="00E35672" w:rsidRDefault="003125F6">
      <w:pPr>
        <w:pStyle w:val="Prrafodelista"/>
        <w:numPr>
          <w:ilvl w:val="0"/>
          <w:numId w:val="19"/>
        </w:numPr>
        <w:tabs>
          <w:tab w:val="left" w:pos="681"/>
        </w:tabs>
        <w:spacing w:before="1" w:line="292" w:lineRule="auto"/>
        <w:ind w:right="110"/>
        <w:jc w:val="both"/>
        <w:rPr>
          <w:sz w:val="20"/>
        </w:rPr>
      </w:pPr>
      <w:r>
        <w:rPr>
          <w:color w:val="434344"/>
          <w:sz w:val="20"/>
          <w:lang w:bidi="fr-FR"/>
        </w:rPr>
        <w:t>Les parties prenantes de l’EPE doivent également comprendre les processus de planification de l’examen annuel afin de garantir que les objectifs et les informations à examiner relatives au sous-secteur de l’EPE sont clairement identifiés et documentés avant la réunion/séance. Veuillez consulter le tableau 3 en annexe (voir ci-dessous). Ce tableau présente un aperçu des caractéristiques du processus de revue sectorielle conjointe et propose des questions directrices pour aider le groupe de travail technique sur l’EPE à s’y préparer.</w:t>
      </w:r>
    </w:p>
    <w:p w:rsidR="00E35672" w:rsidRDefault="00E35672">
      <w:pPr>
        <w:spacing w:line="292" w:lineRule="auto"/>
        <w:jc w:val="both"/>
        <w:rPr>
          <w:sz w:val="20"/>
        </w:rPr>
        <w:sectPr w:rsidR="00E35672">
          <w:pgSz w:w="12240" w:h="15840"/>
          <w:pgMar w:top="900" w:right="1020" w:bottom="280" w:left="1020" w:header="716" w:footer="0" w:gutter="0"/>
          <w:cols w:space="720"/>
        </w:sectPr>
      </w:pPr>
    </w:p>
    <w:p w:rsidR="00E35672" w:rsidRDefault="003125F6">
      <w:pPr>
        <w:spacing w:before="70" w:line="301" w:lineRule="exact"/>
        <w:ind w:left="6577"/>
        <w:rPr>
          <w:sz w:val="28"/>
        </w:rPr>
      </w:pPr>
      <w:r>
        <w:rPr>
          <w:color w:val="913592"/>
          <w:sz w:val="28"/>
          <w:lang w:bidi="fr-FR"/>
        </w:rPr>
        <w:lastRenderedPageBreak/>
        <w:t>ANNEXE</w:t>
      </w:r>
    </w:p>
    <w:p w:rsidR="00E35672" w:rsidRDefault="003125F6">
      <w:pPr>
        <w:spacing w:line="301" w:lineRule="exact"/>
        <w:ind w:left="6487"/>
        <w:rPr>
          <w:b/>
          <w:sz w:val="28"/>
        </w:rPr>
      </w:pPr>
      <w:r>
        <w:rPr>
          <w:b/>
          <w:color w:val="913592"/>
          <w:spacing w:val="-5"/>
          <w:sz w:val="28"/>
          <w:lang w:bidi="fr-FR"/>
        </w:rPr>
        <w:t>TABLEAU 2</w:t>
      </w:r>
    </w:p>
    <w:p w:rsidR="00E35672" w:rsidRPr="00FC7E33" w:rsidRDefault="00E35672">
      <w:pPr>
        <w:pStyle w:val="Textoindependiente"/>
        <w:spacing w:before="11"/>
        <w:rPr>
          <w:b/>
        </w:rPr>
      </w:pPr>
    </w:p>
    <w:p w:rsidR="00E35672" w:rsidRPr="00FC7E33" w:rsidRDefault="003125F6">
      <w:pPr>
        <w:pStyle w:val="Textoindependiente"/>
        <w:spacing w:line="292" w:lineRule="auto"/>
        <w:ind w:left="273" w:right="586"/>
      </w:pPr>
      <w:r w:rsidRPr="00FC7E33">
        <w:rPr>
          <w:color w:val="57585B"/>
          <w:lang w:bidi="fr-FR"/>
        </w:rPr>
        <w:t xml:space="preserve">Le tableau 2 fournit des questions supplémentaires pour aider les pays à préparer l’analyse du sous-secteur de l’EPE aux fins de la revue sectorielle conjointe. Ces questions ont été adaptées depuis le </w:t>
      </w:r>
      <w:hyperlink r:id="rId14">
        <w:r w:rsidRPr="00FC7E33">
          <w:rPr>
            <w:color w:val="57585B"/>
            <w:u w:val="single" w:color="57585B"/>
            <w:lang w:bidi="fr-FR"/>
          </w:rPr>
          <w:t>guide pratique pour l’organisation de revues sectorielles conjointes efficaces dans le secteur de l’éducation</w:t>
        </w:r>
      </w:hyperlink>
      <w:r w:rsidRPr="00FC7E33">
        <w:rPr>
          <w:color w:val="57585B"/>
          <w:lang w:bidi="fr-FR"/>
        </w:rPr>
        <w:t xml:space="preserve"> rédigé</w:t>
      </w:r>
      <w:r w:rsidR="00D37804" w:rsidRPr="00FC7E33">
        <w:rPr>
          <w:color w:val="57585B"/>
          <w:lang w:bidi="fr-FR"/>
        </w:rPr>
        <w:t>es</w:t>
      </w:r>
      <w:r w:rsidRPr="00FC7E33">
        <w:rPr>
          <w:color w:val="57585B"/>
          <w:lang w:bidi="fr-FR"/>
        </w:rPr>
        <w:t xml:space="preserve"> par le Partenariat mondial pour l’éducation.</w:t>
      </w:r>
    </w:p>
    <w:p w:rsidR="00E35672" w:rsidRDefault="00E35672">
      <w:pPr>
        <w:pStyle w:val="Textoindependiente"/>
        <w:spacing w:before="8"/>
        <w:rPr>
          <w:b/>
          <w:sz w:val="8"/>
        </w:rPr>
      </w:pPr>
    </w:p>
    <w:tbl>
      <w:tblPr>
        <w:tblStyle w:val="TableNormal1"/>
        <w:tblW w:w="0" w:type="auto"/>
        <w:tblInd w:w="28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5110"/>
        <w:gridCol w:w="6198"/>
      </w:tblGrid>
      <w:tr w:rsidR="00E65F6F" w:rsidTr="004F4969">
        <w:trPr>
          <w:trHeight w:val="519"/>
        </w:trPr>
        <w:tc>
          <w:tcPr>
            <w:tcW w:w="13572" w:type="dxa"/>
            <w:gridSpan w:val="3"/>
            <w:tcBorders>
              <w:top w:val="single" w:sz="2" w:space="0" w:color="auto"/>
              <w:left w:val="nil"/>
              <w:right w:val="nil"/>
            </w:tcBorders>
            <w:vAlign w:val="center"/>
          </w:tcPr>
          <w:p w:rsidR="00E65F6F" w:rsidRPr="00E65F6F" w:rsidRDefault="00E65F6F" w:rsidP="00E65F6F">
            <w:pPr>
              <w:spacing w:before="71"/>
              <w:jc w:val="center"/>
              <w:rPr>
                <w:b/>
                <w:sz w:val="18"/>
              </w:rPr>
            </w:pPr>
            <w:r>
              <w:rPr>
                <w:b/>
                <w:color w:val="57585B"/>
                <w:sz w:val="18"/>
                <w:lang w:bidi="fr-FR"/>
              </w:rPr>
              <w:t xml:space="preserve">Tableau 2. Questions relatives à l’EPE destinées à guider l’établissement de rapports sur les progrès en matière d’EPE </w:t>
            </w:r>
            <w:r>
              <w:rPr>
                <w:b/>
                <w:color w:val="57585B"/>
                <w:sz w:val="18"/>
                <w:lang w:bidi="fr-FR"/>
              </w:rPr>
              <w:br/>
              <w:t>pour l’examen annuel comme la revue sectorielle conjointe</w:t>
            </w:r>
          </w:p>
        </w:tc>
      </w:tr>
      <w:tr w:rsidR="00E35672" w:rsidTr="006E6B92">
        <w:trPr>
          <w:trHeight w:val="519"/>
        </w:trPr>
        <w:tc>
          <w:tcPr>
            <w:tcW w:w="2264" w:type="dxa"/>
            <w:tcBorders>
              <w:left w:val="nil"/>
              <w:right w:val="nil"/>
            </w:tcBorders>
            <w:vAlign w:val="center"/>
          </w:tcPr>
          <w:p w:rsidR="00E35672" w:rsidRDefault="003125F6" w:rsidP="006E6B92">
            <w:pPr>
              <w:pStyle w:val="TableParagraph"/>
              <w:spacing w:before="60"/>
              <w:jc w:val="center"/>
              <w:rPr>
                <w:b/>
                <w:sz w:val="18"/>
              </w:rPr>
            </w:pPr>
            <w:r>
              <w:rPr>
                <w:b/>
                <w:color w:val="913592"/>
                <w:sz w:val="18"/>
                <w:lang w:bidi="fr-FR"/>
              </w:rPr>
              <w:t>Domaines</w:t>
            </w:r>
          </w:p>
        </w:tc>
        <w:tc>
          <w:tcPr>
            <w:tcW w:w="5110" w:type="dxa"/>
            <w:tcBorders>
              <w:left w:val="nil"/>
              <w:right w:val="nil"/>
            </w:tcBorders>
            <w:vAlign w:val="center"/>
          </w:tcPr>
          <w:p w:rsidR="00E35672" w:rsidRDefault="003125F6" w:rsidP="006E6B92">
            <w:pPr>
              <w:pStyle w:val="TableParagraph"/>
              <w:spacing w:before="60"/>
              <w:jc w:val="center"/>
              <w:rPr>
                <w:b/>
                <w:sz w:val="18"/>
              </w:rPr>
            </w:pPr>
            <w:r>
              <w:rPr>
                <w:b/>
                <w:color w:val="913592"/>
                <w:sz w:val="18"/>
                <w:lang w:bidi="fr-FR"/>
              </w:rPr>
              <w:t>Guide sur les revues sectorielles conjointes</w:t>
            </w:r>
          </w:p>
        </w:tc>
        <w:tc>
          <w:tcPr>
            <w:tcW w:w="6198" w:type="dxa"/>
            <w:tcBorders>
              <w:left w:val="nil"/>
              <w:right w:val="nil"/>
            </w:tcBorders>
            <w:vAlign w:val="center"/>
          </w:tcPr>
          <w:p w:rsidR="00E35672" w:rsidRPr="00FC7E33" w:rsidRDefault="003125F6" w:rsidP="006E6B92">
            <w:pPr>
              <w:pStyle w:val="TableParagraph"/>
              <w:spacing w:before="60"/>
              <w:jc w:val="center"/>
              <w:rPr>
                <w:b/>
                <w:color w:val="913592"/>
                <w:sz w:val="18"/>
                <w:lang w:bidi="fr-FR"/>
              </w:rPr>
            </w:pPr>
            <w:r>
              <w:rPr>
                <w:b/>
                <w:color w:val="913592"/>
                <w:sz w:val="18"/>
                <w:lang w:bidi="fr-FR"/>
              </w:rPr>
              <w:t xml:space="preserve">Questions pour guider l’analyse des sources de données clés : </w:t>
            </w:r>
            <w:r w:rsidR="00D25DC1">
              <w:rPr>
                <w:b/>
                <w:color w:val="913592"/>
                <w:sz w:val="18"/>
                <w:lang w:bidi="fr-FR"/>
              </w:rPr>
              <w:br/>
            </w:r>
            <w:r>
              <w:rPr>
                <w:b/>
                <w:color w:val="913592"/>
                <w:sz w:val="18"/>
                <w:lang w:bidi="fr-FR"/>
              </w:rPr>
              <w:t>questions spécifiques à l’EPE</w:t>
            </w:r>
          </w:p>
        </w:tc>
      </w:tr>
      <w:tr w:rsidR="00E35672" w:rsidTr="00CB03F9">
        <w:trPr>
          <w:trHeight w:val="2006"/>
        </w:trPr>
        <w:tc>
          <w:tcPr>
            <w:tcW w:w="2264" w:type="dxa"/>
            <w:tcBorders>
              <w:left w:val="nil"/>
              <w:right w:val="nil"/>
            </w:tcBorders>
            <w:shd w:val="clear" w:color="auto" w:fill="F1F2F2"/>
            <w:vAlign w:val="center"/>
          </w:tcPr>
          <w:p w:rsidR="00E35672" w:rsidRDefault="003125F6" w:rsidP="00B04150">
            <w:pPr>
              <w:pStyle w:val="TableParagraph"/>
              <w:ind w:left="113" w:right="113"/>
              <w:jc w:val="center"/>
              <w:rPr>
                <w:b/>
                <w:sz w:val="18"/>
              </w:rPr>
            </w:pPr>
            <w:r>
              <w:rPr>
                <w:b/>
                <w:color w:val="913592"/>
                <w:sz w:val="18"/>
                <w:lang w:bidi="fr-FR"/>
              </w:rPr>
              <w:t xml:space="preserve">Enquêtes auprès </w:t>
            </w:r>
            <w:r w:rsidR="00AB7E19">
              <w:rPr>
                <w:b/>
                <w:color w:val="913592"/>
                <w:sz w:val="18"/>
                <w:lang w:bidi="fr-FR"/>
              </w:rPr>
              <w:br/>
            </w:r>
            <w:r>
              <w:rPr>
                <w:b/>
                <w:color w:val="913592"/>
                <w:sz w:val="18"/>
                <w:lang w:bidi="fr-FR"/>
              </w:rPr>
              <w:t>des ménages et recensement de la population</w:t>
            </w:r>
          </w:p>
        </w:tc>
        <w:tc>
          <w:tcPr>
            <w:tcW w:w="5110" w:type="dxa"/>
            <w:tcBorders>
              <w:left w:val="nil"/>
            </w:tcBorders>
          </w:tcPr>
          <w:p w:rsidR="00E35672" w:rsidRDefault="003125F6" w:rsidP="00B04150">
            <w:pPr>
              <w:pStyle w:val="TableParagraph"/>
              <w:spacing w:before="155" w:line="278" w:lineRule="auto"/>
              <w:ind w:left="113" w:right="133"/>
              <w:rPr>
                <w:sz w:val="18"/>
              </w:rPr>
            </w:pPr>
            <w:r>
              <w:rPr>
                <w:color w:val="57585B"/>
                <w:sz w:val="18"/>
                <w:lang w:bidi="fr-FR"/>
              </w:rPr>
              <w:t>Des données et informations quantitatives et qualitatives peuvent être obtenues à partir de bases de données nationales, d</w:t>
            </w:r>
            <w:r w:rsidR="00D37804">
              <w:rPr>
                <w:color w:val="57585B"/>
                <w:sz w:val="18"/>
                <w:lang w:bidi="fr-FR"/>
              </w:rPr>
              <w:t>’</w:t>
            </w:r>
            <w:r>
              <w:rPr>
                <w:color w:val="57585B"/>
                <w:sz w:val="18"/>
                <w:lang w:bidi="fr-FR"/>
              </w:rPr>
              <w:t>enquêtes et de recensements de la population.</w:t>
            </w:r>
          </w:p>
        </w:tc>
        <w:tc>
          <w:tcPr>
            <w:tcW w:w="6198" w:type="dxa"/>
            <w:tcBorders>
              <w:right w:val="nil"/>
            </w:tcBorders>
          </w:tcPr>
          <w:p w:rsidR="00E35672" w:rsidRDefault="003125F6" w:rsidP="00B04150">
            <w:pPr>
              <w:pStyle w:val="TableParagraph"/>
              <w:numPr>
                <w:ilvl w:val="0"/>
                <w:numId w:val="18"/>
              </w:numPr>
              <w:tabs>
                <w:tab w:val="left" w:pos="393"/>
              </w:tabs>
              <w:spacing w:before="155" w:line="278" w:lineRule="auto"/>
              <w:ind w:right="99"/>
              <w:rPr>
                <w:sz w:val="18"/>
              </w:rPr>
            </w:pPr>
            <w:r>
              <w:rPr>
                <w:color w:val="57585B"/>
                <w:sz w:val="18"/>
                <w:lang w:bidi="fr-FR"/>
              </w:rPr>
              <w:t>Est-il possible d’obtenir des données quantitatives à partir du recensement scolaire, du SIGE, du recensement national, et/ou des enquêtes auprès des ménages afin d’éclairer l’établissement de rapports au regard du plan de travail annuel ?</w:t>
            </w:r>
          </w:p>
          <w:p w:rsidR="00E35672" w:rsidRDefault="003125F6" w:rsidP="00B04150">
            <w:pPr>
              <w:pStyle w:val="TableParagraph"/>
              <w:numPr>
                <w:ilvl w:val="0"/>
                <w:numId w:val="18"/>
              </w:numPr>
              <w:tabs>
                <w:tab w:val="left" w:pos="392"/>
              </w:tabs>
              <w:spacing w:before="114" w:line="278" w:lineRule="auto"/>
              <w:ind w:right="99"/>
              <w:rPr>
                <w:sz w:val="18"/>
              </w:rPr>
            </w:pPr>
            <w:r>
              <w:rPr>
                <w:color w:val="57585B"/>
                <w:sz w:val="18"/>
                <w:lang w:bidi="fr-FR"/>
              </w:rPr>
              <w:t>Est-il possible d’obtenir des données qualitatives à partir des rapports de diagnostic, des analyses, des rapports annuels</w:t>
            </w:r>
            <w:r w:rsidR="00D37804">
              <w:rPr>
                <w:color w:val="57585B"/>
                <w:sz w:val="18"/>
                <w:lang w:bidi="fr-FR"/>
              </w:rPr>
              <w:t>,</w:t>
            </w:r>
            <w:r>
              <w:rPr>
                <w:color w:val="57585B"/>
                <w:sz w:val="18"/>
                <w:lang w:bidi="fr-FR"/>
              </w:rPr>
              <w:t xml:space="preserve"> etc. afin d’éclairer l’établissement de rapports au regard du plan de travail annuel ?</w:t>
            </w:r>
          </w:p>
        </w:tc>
      </w:tr>
      <w:tr w:rsidR="00E35672" w:rsidTr="00CB10A5">
        <w:trPr>
          <w:trHeight w:val="4200"/>
        </w:trPr>
        <w:tc>
          <w:tcPr>
            <w:tcW w:w="2264" w:type="dxa"/>
            <w:tcBorders>
              <w:left w:val="nil"/>
              <w:right w:val="nil"/>
            </w:tcBorders>
            <w:shd w:val="clear" w:color="auto" w:fill="F1F2F2"/>
            <w:vAlign w:val="center"/>
          </w:tcPr>
          <w:p w:rsidR="00E35672" w:rsidRDefault="003125F6" w:rsidP="00B04150">
            <w:pPr>
              <w:pStyle w:val="TableParagraph"/>
              <w:ind w:left="113" w:right="113"/>
              <w:jc w:val="center"/>
              <w:rPr>
                <w:b/>
                <w:sz w:val="18"/>
              </w:rPr>
            </w:pPr>
            <w:r>
              <w:rPr>
                <w:b/>
                <w:color w:val="913592"/>
                <w:sz w:val="18"/>
                <w:lang w:bidi="fr-FR"/>
              </w:rPr>
              <w:t>Système d</w:t>
            </w:r>
            <w:r w:rsidR="00D37804">
              <w:rPr>
                <w:b/>
                <w:color w:val="913592"/>
                <w:sz w:val="18"/>
                <w:lang w:bidi="fr-FR"/>
              </w:rPr>
              <w:t>’</w:t>
            </w:r>
            <w:r>
              <w:rPr>
                <w:b/>
                <w:color w:val="913592"/>
                <w:sz w:val="18"/>
                <w:lang w:bidi="fr-FR"/>
              </w:rPr>
              <w:t xml:space="preserve">information </w:t>
            </w:r>
            <w:r w:rsidR="008A764A">
              <w:rPr>
                <w:b/>
                <w:color w:val="913592"/>
                <w:sz w:val="18"/>
                <w:lang w:bidi="fr-FR"/>
              </w:rPr>
              <w:br/>
            </w:r>
            <w:r>
              <w:rPr>
                <w:b/>
                <w:color w:val="913592"/>
                <w:sz w:val="18"/>
                <w:lang w:bidi="fr-FR"/>
              </w:rPr>
              <w:t xml:space="preserve">de gestion financière </w:t>
            </w:r>
            <w:r w:rsidR="002D6B12">
              <w:rPr>
                <w:b/>
                <w:color w:val="913592"/>
                <w:sz w:val="18"/>
                <w:lang w:bidi="fr-FR"/>
              </w:rPr>
              <w:br/>
            </w:r>
            <w:r>
              <w:rPr>
                <w:b/>
                <w:color w:val="913592"/>
                <w:sz w:val="18"/>
                <w:lang w:bidi="fr-FR"/>
              </w:rPr>
              <w:t>et documentation budgétaire</w:t>
            </w:r>
          </w:p>
        </w:tc>
        <w:tc>
          <w:tcPr>
            <w:tcW w:w="5110" w:type="dxa"/>
            <w:tcBorders>
              <w:left w:val="nil"/>
            </w:tcBorders>
          </w:tcPr>
          <w:p w:rsidR="00E35672" w:rsidRDefault="003125F6" w:rsidP="00B04150">
            <w:pPr>
              <w:pStyle w:val="TableParagraph"/>
              <w:spacing w:before="155" w:line="278" w:lineRule="auto"/>
              <w:ind w:left="113" w:right="133"/>
              <w:rPr>
                <w:sz w:val="18"/>
              </w:rPr>
            </w:pPr>
            <w:r>
              <w:rPr>
                <w:color w:val="57585B"/>
                <w:sz w:val="18"/>
                <w:lang w:bidi="fr-FR"/>
              </w:rPr>
              <w:t>Beaucoup de pays possèdent, ou sont en train de créer, des systèmes intégrés d’information de gestion financière (SIGF) à l’échelle du gouvernement.</w:t>
            </w:r>
          </w:p>
          <w:p w:rsidR="00E35672" w:rsidRDefault="003125F6" w:rsidP="00B04150">
            <w:pPr>
              <w:pStyle w:val="TableParagraph"/>
              <w:spacing w:line="278" w:lineRule="auto"/>
              <w:ind w:left="113" w:right="133"/>
              <w:rPr>
                <w:sz w:val="18"/>
              </w:rPr>
            </w:pPr>
            <w:r>
              <w:rPr>
                <w:color w:val="57585B"/>
                <w:sz w:val="18"/>
                <w:lang w:bidi="fr-FR"/>
              </w:rPr>
              <w:t>Ces systèmes entretiennent des données sur les affectations budgétaires approuvées, les sources de financement, les transferts budgétaires, les dépenses réelles, etc. Les Ministères des finances publient généralement des rapports en cours d’année, un examen en milieu d’année et un rapport de fin d’année à partir des données issues du SIGF.</w:t>
            </w:r>
          </w:p>
        </w:tc>
        <w:tc>
          <w:tcPr>
            <w:tcW w:w="6198" w:type="dxa"/>
            <w:tcBorders>
              <w:right w:val="nil"/>
            </w:tcBorders>
          </w:tcPr>
          <w:p w:rsidR="00E35672" w:rsidRDefault="003125F6" w:rsidP="00B04150">
            <w:pPr>
              <w:pStyle w:val="TableParagraph"/>
              <w:numPr>
                <w:ilvl w:val="0"/>
                <w:numId w:val="17"/>
              </w:numPr>
              <w:tabs>
                <w:tab w:val="left" w:pos="393"/>
              </w:tabs>
              <w:spacing w:before="155" w:line="278" w:lineRule="auto"/>
              <w:ind w:right="99"/>
              <w:rPr>
                <w:sz w:val="18"/>
              </w:rPr>
            </w:pPr>
            <w:r>
              <w:rPr>
                <w:color w:val="57585B"/>
                <w:sz w:val="18"/>
                <w:lang w:bidi="fr-FR"/>
              </w:rPr>
              <w:t>Existe-t-il une analyse des dépenses publiques sur laquelle s</w:t>
            </w:r>
            <w:r w:rsidR="00D37804">
              <w:rPr>
                <w:color w:val="57585B"/>
                <w:sz w:val="18"/>
                <w:lang w:bidi="fr-FR"/>
              </w:rPr>
              <w:t>’</w:t>
            </w:r>
            <w:r>
              <w:rPr>
                <w:color w:val="57585B"/>
                <w:sz w:val="18"/>
                <w:lang w:bidi="fr-FR"/>
              </w:rPr>
              <w:t>appuyer pour analyser le financement et les dépenses du sous-secteur de l</w:t>
            </w:r>
            <w:r w:rsidR="00D37804">
              <w:rPr>
                <w:color w:val="57585B"/>
                <w:sz w:val="18"/>
                <w:lang w:bidi="fr-FR"/>
              </w:rPr>
              <w:t>’</w:t>
            </w:r>
            <w:r>
              <w:rPr>
                <w:color w:val="57585B"/>
                <w:sz w:val="18"/>
                <w:lang w:bidi="fr-FR"/>
              </w:rPr>
              <w:t>EPE ?</w:t>
            </w:r>
          </w:p>
          <w:p w:rsidR="00E35672" w:rsidRDefault="003125F6" w:rsidP="00B04150">
            <w:pPr>
              <w:pStyle w:val="TableParagraph"/>
              <w:numPr>
                <w:ilvl w:val="0"/>
                <w:numId w:val="17"/>
              </w:numPr>
              <w:tabs>
                <w:tab w:val="left" w:pos="392"/>
              </w:tabs>
              <w:spacing w:before="114"/>
              <w:ind w:left="391" w:right="99" w:hanging="283"/>
              <w:rPr>
                <w:sz w:val="18"/>
              </w:rPr>
            </w:pPr>
            <w:r>
              <w:rPr>
                <w:color w:val="57585B"/>
                <w:sz w:val="18"/>
                <w:lang w:bidi="fr-FR"/>
              </w:rPr>
              <w:t>Existe-t-il des données sur les dépenses réelles permettant de comparer le budget et les dépenses ?</w:t>
            </w:r>
          </w:p>
          <w:p w:rsidR="00E35672" w:rsidRDefault="003125F6" w:rsidP="00B04150">
            <w:pPr>
              <w:pStyle w:val="TableParagraph"/>
              <w:numPr>
                <w:ilvl w:val="0"/>
                <w:numId w:val="17"/>
              </w:numPr>
              <w:tabs>
                <w:tab w:val="left" w:pos="393"/>
              </w:tabs>
              <w:spacing w:before="146"/>
              <w:ind w:right="99"/>
              <w:rPr>
                <w:sz w:val="18"/>
              </w:rPr>
            </w:pPr>
            <w:r>
              <w:rPr>
                <w:color w:val="57585B"/>
                <w:sz w:val="18"/>
                <w:lang w:bidi="fr-FR"/>
              </w:rPr>
              <w:t>Existe-t-il des données sur les sources de financement (externes et internes), y compris</w:t>
            </w:r>
          </w:p>
          <w:p w:rsidR="00E35672" w:rsidRDefault="003125F6" w:rsidP="00B04150">
            <w:pPr>
              <w:pStyle w:val="TableParagraph"/>
              <w:spacing w:before="33"/>
              <w:ind w:left="391" w:right="99"/>
              <w:rPr>
                <w:sz w:val="18"/>
              </w:rPr>
            </w:pPr>
            <w:proofErr w:type="gramStart"/>
            <w:r>
              <w:rPr>
                <w:color w:val="57585B"/>
                <w:sz w:val="18"/>
                <w:lang w:bidi="fr-FR"/>
              </w:rPr>
              <w:t>les</w:t>
            </w:r>
            <w:proofErr w:type="gramEnd"/>
            <w:r>
              <w:rPr>
                <w:color w:val="57585B"/>
                <w:sz w:val="18"/>
                <w:lang w:bidi="fr-FR"/>
              </w:rPr>
              <w:t xml:space="preserve"> transferts budgétaires ?</w:t>
            </w:r>
          </w:p>
          <w:p w:rsidR="00E35672" w:rsidRDefault="003125F6" w:rsidP="00B04150">
            <w:pPr>
              <w:pStyle w:val="TableParagraph"/>
              <w:numPr>
                <w:ilvl w:val="0"/>
                <w:numId w:val="17"/>
              </w:numPr>
              <w:tabs>
                <w:tab w:val="left" w:pos="392"/>
              </w:tabs>
              <w:spacing w:before="146" w:line="278" w:lineRule="auto"/>
              <w:ind w:right="99"/>
              <w:rPr>
                <w:sz w:val="18"/>
              </w:rPr>
            </w:pPr>
            <w:r>
              <w:rPr>
                <w:color w:val="57585B"/>
                <w:sz w:val="18"/>
                <w:lang w:bidi="fr-FR"/>
              </w:rPr>
              <w:t>Avez-vous consulté le rapport annuel du Ministère des finances ventilé par secteurs et sous-secteurs, notamment la santé ou la protection sociale, qui pourraient être pertinents mais qui ne sont pas inscrits dans la revue sectorielle conjointe sur l’éducation ?</w:t>
            </w:r>
          </w:p>
          <w:p w:rsidR="00E35672" w:rsidRDefault="003125F6" w:rsidP="00B04150">
            <w:pPr>
              <w:pStyle w:val="TableParagraph"/>
              <w:numPr>
                <w:ilvl w:val="0"/>
                <w:numId w:val="17"/>
              </w:numPr>
              <w:tabs>
                <w:tab w:val="left" w:pos="393"/>
              </w:tabs>
              <w:spacing w:before="113" w:line="278" w:lineRule="auto"/>
              <w:ind w:right="99"/>
              <w:rPr>
                <w:sz w:val="18"/>
              </w:rPr>
            </w:pPr>
            <w:r>
              <w:rPr>
                <w:color w:val="57585B"/>
                <w:sz w:val="18"/>
                <w:lang w:bidi="fr-FR"/>
              </w:rPr>
              <w:t xml:space="preserve">Les données de tous les domaines ci-dessus </w:t>
            </w:r>
            <w:proofErr w:type="spellStart"/>
            <w:r>
              <w:rPr>
                <w:color w:val="57585B"/>
                <w:sz w:val="18"/>
                <w:lang w:bidi="fr-FR"/>
              </w:rPr>
              <w:t>ont-elles</w:t>
            </w:r>
            <w:proofErr w:type="spellEnd"/>
            <w:r>
              <w:rPr>
                <w:color w:val="57585B"/>
                <w:sz w:val="18"/>
                <w:lang w:bidi="fr-FR"/>
              </w:rPr>
              <w:t xml:space="preserve"> été analysées et synthétisées afin d’identifier des schémas et des tendances, et une description de ceux-ci et de la réalité ?</w:t>
            </w:r>
          </w:p>
        </w:tc>
      </w:tr>
    </w:tbl>
    <w:p w:rsidR="00E35672" w:rsidRDefault="00E35672">
      <w:pPr>
        <w:rPr>
          <w:sz w:val="18"/>
        </w:rPr>
        <w:sectPr w:rsidR="00E35672">
          <w:headerReference w:type="default" r:id="rId15"/>
          <w:pgSz w:w="15840" w:h="12240" w:orient="landscape"/>
          <w:pgMar w:top="860" w:right="940" w:bottom="280" w:left="860" w:header="0" w:footer="0" w:gutter="0"/>
          <w:cols w:space="720"/>
        </w:sectPr>
      </w:pPr>
    </w:p>
    <w:p w:rsidR="00E35672" w:rsidRDefault="00E35672">
      <w:pPr>
        <w:pStyle w:val="Textoindependiente"/>
        <w:spacing w:before="5" w:after="1"/>
        <w:rPr>
          <w:rFonts w:ascii="Times New Roman"/>
          <w:sz w:val="25"/>
        </w:rPr>
      </w:pPr>
    </w:p>
    <w:tbl>
      <w:tblPr>
        <w:tblStyle w:val="TableNormal1"/>
        <w:tblW w:w="0" w:type="auto"/>
        <w:tblInd w:w="28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5110"/>
        <w:gridCol w:w="6198"/>
      </w:tblGrid>
      <w:tr w:rsidR="00E35672" w:rsidTr="003B6A36">
        <w:trPr>
          <w:trHeight w:val="432"/>
        </w:trPr>
        <w:tc>
          <w:tcPr>
            <w:tcW w:w="2264" w:type="dxa"/>
            <w:tcBorders>
              <w:left w:val="nil"/>
              <w:right w:val="nil"/>
            </w:tcBorders>
            <w:shd w:val="clear" w:color="auto" w:fill="auto"/>
            <w:vAlign w:val="center"/>
          </w:tcPr>
          <w:p w:rsidR="00E35672" w:rsidRDefault="003125F6" w:rsidP="006E6B92">
            <w:pPr>
              <w:pStyle w:val="TableParagraph"/>
              <w:spacing w:before="100"/>
              <w:jc w:val="center"/>
              <w:rPr>
                <w:b/>
                <w:sz w:val="18"/>
              </w:rPr>
            </w:pPr>
            <w:r>
              <w:rPr>
                <w:b/>
                <w:color w:val="913592"/>
                <w:sz w:val="18"/>
                <w:lang w:bidi="fr-FR"/>
              </w:rPr>
              <w:t>Domaines</w:t>
            </w:r>
          </w:p>
        </w:tc>
        <w:tc>
          <w:tcPr>
            <w:tcW w:w="5110" w:type="dxa"/>
            <w:tcBorders>
              <w:left w:val="nil"/>
              <w:right w:val="nil"/>
            </w:tcBorders>
            <w:shd w:val="clear" w:color="auto" w:fill="auto"/>
            <w:vAlign w:val="center"/>
          </w:tcPr>
          <w:p w:rsidR="00E35672" w:rsidRDefault="003125F6" w:rsidP="006E6B92">
            <w:pPr>
              <w:pStyle w:val="TableParagraph"/>
              <w:spacing w:before="100"/>
              <w:jc w:val="center"/>
              <w:rPr>
                <w:b/>
                <w:sz w:val="18"/>
              </w:rPr>
            </w:pPr>
            <w:r>
              <w:rPr>
                <w:b/>
                <w:color w:val="913592"/>
                <w:sz w:val="18"/>
                <w:lang w:bidi="fr-FR"/>
              </w:rPr>
              <w:t>Guide sur les revues sectorielles conjointes</w:t>
            </w:r>
          </w:p>
        </w:tc>
        <w:tc>
          <w:tcPr>
            <w:tcW w:w="6198" w:type="dxa"/>
            <w:tcBorders>
              <w:left w:val="nil"/>
              <w:right w:val="nil"/>
            </w:tcBorders>
            <w:shd w:val="clear" w:color="auto" w:fill="auto"/>
            <w:vAlign w:val="center"/>
          </w:tcPr>
          <w:p w:rsidR="00E35672" w:rsidRDefault="003125F6" w:rsidP="006E6B92">
            <w:pPr>
              <w:pStyle w:val="TableParagraph"/>
              <w:spacing w:before="100"/>
              <w:jc w:val="center"/>
              <w:rPr>
                <w:b/>
                <w:sz w:val="18"/>
              </w:rPr>
            </w:pPr>
            <w:r>
              <w:rPr>
                <w:b/>
                <w:color w:val="913592"/>
                <w:sz w:val="18"/>
                <w:lang w:bidi="fr-FR"/>
              </w:rPr>
              <w:t xml:space="preserve">Questions pour guider l’analyse des sources de données clés : </w:t>
            </w:r>
            <w:r w:rsidR="00D25DC1">
              <w:rPr>
                <w:b/>
                <w:color w:val="913592"/>
                <w:sz w:val="18"/>
                <w:lang w:bidi="fr-FR"/>
              </w:rPr>
              <w:br/>
            </w:r>
            <w:r>
              <w:rPr>
                <w:b/>
                <w:color w:val="913592"/>
                <w:sz w:val="18"/>
                <w:lang w:bidi="fr-FR"/>
              </w:rPr>
              <w:t>questions spécifiques à l’EPE</w:t>
            </w:r>
          </w:p>
        </w:tc>
      </w:tr>
      <w:tr w:rsidR="002E548E" w:rsidTr="00DD4298">
        <w:trPr>
          <w:trHeight w:val="2923"/>
        </w:trPr>
        <w:tc>
          <w:tcPr>
            <w:tcW w:w="2264" w:type="dxa"/>
            <w:tcBorders>
              <w:left w:val="nil"/>
              <w:right w:val="nil"/>
            </w:tcBorders>
            <w:shd w:val="clear" w:color="auto" w:fill="auto"/>
            <w:vAlign w:val="center"/>
          </w:tcPr>
          <w:p w:rsidR="002E548E" w:rsidRDefault="002E548E" w:rsidP="002E548E">
            <w:pPr>
              <w:pStyle w:val="TableParagraph"/>
              <w:jc w:val="center"/>
              <w:rPr>
                <w:rFonts w:ascii="Times New Roman"/>
                <w:sz w:val="20"/>
              </w:rPr>
            </w:pPr>
            <w:r>
              <w:rPr>
                <w:b/>
                <w:color w:val="913592"/>
                <w:sz w:val="18"/>
                <w:lang w:bidi="fr-FR"/>
              </w:rPr>
              <w:t>SIGE</w:t>
            </w:r>
          </w:p>
        </w:tc>
        <w:tc>
          <w:tcPr>
            <w:tcW w:w="5110" w:type="dxa"/>
            <w:tcBorders>
              <w:left w:val="nil"/>
            </w:tcBorders>
            <w:shd w:val="clear" w:color="auto" w:fill="auto"/>
          </w:tcPr>
          <w:p w:rsidR="002E548E" w:rsidRDefault="002E548E" w:rsidP="004B0669">
            <w:pPr>
              <w:pStyle w:val="TableParagraph"/>
              <w:spacing w:before="155" w:line="278" w:lineRule="auto"/>
              <w:ind w:left="113"/>
              <w:rPr>
                <w:color w:val="57585B"/>
                <w:sz w:val="18"/>
                <w:lang w:bidi="fr-FR"/>
              </w:rPr>
            </w:pPr>
            <w:r>
              <w:rPr>
                <w:color w:val="57585B"/>
                <w:sz w:val="18"/>
                <w:lang w:bidi="fr-FR"/>
              </w:rPr>
              <w:t>Le système d’information sur la gestion des établissements d’enseignement (SIGE) est une source de données importante pour le suivi de l’éducation et les rapports de performance. Les séries temporelles portant sur des indicateurs spécifiques participent particulièrement à la cohérence à la présentation des forces et des faiblesses du secteur.</w:t>
            </w:r>
          </w:p>
        </w:tc>
        <w:tc>
          <w:tcPr>
            <w:tcW w:w="6198" w:type="dxa"/>
            <w:tcBorders>
              <w:right w:val="nil"/>
            </w:tcBorders>
            <w:shd w:val="clear" w:color="auto" w:fill="auto"/>
          </w:tcPr>
          <w:p w:rsidR="002E548E" w:rsidRDefault="002E548E" w:rsidP="002E548E">
            <w:pPr>
              <w:pStyle w:val="TableParagraph"/>
              <w:numPr>
                <w:ilvl w:val="0"/>
                <w:numId w:val="16"/>
              </w:numPr>
              <w:tabs>
                <w:tab w:val="left" w:pos="393"/>
              </w:tabs>
              <w:spacing w:before="155" w:line="278" w:lineRule="auto"/>
              <w:ind w:right="234"/>
              <w:rPr>
                <w:sz w:val="18"/>
              </w:rPr>
            </w:pPr>
            <w:r>
              <w:rPr>
                <w:color w:val="57585B"/>
                <w:sz w:val="18"/>
                <w:lang w:bidi="fr-FR"/>
              </w:rPr>
              <w:t>Les données du SIGE sont-elles à jour et incluent-elles l’EPE afin d’éclairer l’établissement des rapports au regard du plan de travail annuel ?</w:t>
            </w:r>
          </w:p>
          <w:p w:rsidR="002E548E" w:rsidRDefault="002E548E" w:rsidP="002E548E">
            <w:pPr>
              <w:pStyle w:val="TableParagraph"/>
              <w:numPr>
                <w:ilvl w:val="0"/>
                <w:numId w:val="16"/>
              </w:numPr>
              <w:tabs>
                <w:tab w:val="left" w:pos="392"/>
              </w:tabs>
              <w:spacing w:before="114"/>
              <w:ind w:left="391" w:hanging="283"/>
              <w:rPr>
                <w:sz w:val="18"/>
              </w:rPr>
            </w:pPr>
            <w:r>
              <w:rPr>
                <w:color w:val="57585B"/>
                <w:sz w:val="18"/>
                <w:lang w:bidi="fr-FR"/>
              </w:rPr>
              <w:t xml:space="preserve">Les données sur l’accessibilité, l’équité, l’efficacité, la qualité et la gouvernance </w:t>
            </w:r>
            <w:proofErr w:type="spellStart"/>
            <w:r>
              <w:rPr>
                <w:color w:val="57585B"/>
                <w:sz w:val="18"/>
                <w:lang w:bidi="fr-FR"/>
              </w:rPr>
              <w:t>ont-elles</w:t>
            </w:r>
            <w:proofErr w:type="spellEnd"/>
            <w:r>
              <w:rPr>
                <w:color w:val="57585B"/>
                <w:sz w:val="18"/>
                <w:lang w:bidi="fr-FR"/>
              </w:rPr>
              <w:t xml:space="preserve"> été</w:t>
            </w:r>
          </w:p>
          <w:p w:rsidR="002E548E" w:rsidRDefault="002E548E" w:rsidP="002E548E">
            <w:pPr>
              <w:pStyle w:val="TableParagraph"/>
              <w:spacing w:before="33"/>
              <w:ind w:left="391"/>
              <w:rPr>
                <w:sz w:val="18"/>
              </w:rPr>
            </w:pPr>
            <w:proofErr w:type="gramStart"/>
            <w:r>
              <w:rPr>
                <w:color w:val="57585B"/>
                <w:sz w:val="18"/>
                <w:lang w:bidi="fr-FR"/>
              </w:rPr>
              <w:t>analysées</w:t>
            </w:r>
            <w:proofErr w:type="gramEnd"/>
            <w:r>
              <w:rPr>
                <w:color w:val="57585B"/>
                <w:sz w:val="18"/>
                <w:lang w:bidi="fr-FR"/>
              </w:rPr>
              <w:t xml:space="preserve"> afin de guider la réalisation des cibles dans le plan de travail annuel ?</w:t>
            </w:r>
          </w:p>
          <w:p w:rsidR="002E548E" w:rsidRPr="00DD4298" w:rsidRDefault="002E548E" w:rsidP="002E548E">
            <w:pPr>
              <w:pStyle w:val="TableParagraph"/>
              <w:numPr>
                <w:ilvl w:val="0"/>
                <w:numId w:val="16"/>
              </w:numPr>
              <w:tabs>
                <w:tab w:val="left" w:pos="393"/>
              </w:tabs>
              <w:spacing w:before="146"/>
              <w:rPr>
                <w:sz w:val="18"/>
              </w:rPr>
            </w:pPr>
            <w:r>
              <w:rPr>
                <w:color w:val="57585B"/>
                <w:sz w:val="18"/>
                <w:lang w:bidi="fr-FR"/>
              </w:rPr>
              <w:t>Les écarts, les défis et changements, les forces et faiblesses ont-ils été identifiés à partir de l’analyse</w:t>
            </w:r>
          </w:p>
          <w:p w:rsidR="002E548E" w:rsidRPr="00DD4298" w:rsidRDefault="00DD4298" w:rsidP="00DD4298">
            <w:pPr>
              <w:pStyle w:val="TableParagraph"/>
              <w:numPr>
                <w:ilvl w:val="0"/>
                <w:numId w:val="16"/>
              </w:numPr>
              <w:tabs>
                <w:tab w:val="left" w:pos="393"/>
              </w:tabs>
              <w:spacing w:before="146"/>
              <w:rPr>
                <w:sz w:val="18"/>
              </w:rPr>
            </w:pPr>
            <w:proofErr w:type="gramStart"/>
            <w:r>
              <w:rPr>
                <w:color w:val="57585B"/>
                <w:sz w:val="18"/>
                <w:lang w:bidi="fr-FR"/>
              </w:rPr>
              <w:t>pour</w:t>
            </w:r>
            <w:proofErr w:type="gramEnd"/>
            <w:r>
              <w:rPr>
                <w:color w:val="57585B"/>
                <w:sz w:val="18"/>
                <w:lang w:bidi="fr-FR"/>
              </w:rPr>
              <w:t xml:space="preserve"> éclairer l’examen de la revue sectorielle conjointe ?</w:t>
            </w:r>
          </w:p>
        </w:tc>
      </w:tr>
      <w:tr w:rsidR="002E548E" w:rsidTr="003B6A36">
        <w:trPr>
          <w:trHeight w:val="2356"/>
        </w:trPr>
        <w:tc>
          <w:tcPr>
            <w:tcW w:w="2264" w:type="dxa"/>
            <w:tcBorders>
              <w:left w:val="nil"/>
              <w:right w:val="nil"/>
            </w:tcBorders>
            <w:shd w:val="clear" w:color="auto" w:fill="auto"/>
            <w:vAlign w:val="center"/>
          </w:tcPr>
          <w:p w:rsidR="002E548E" w:rsidRDefault="002E548E" w:rsidP="002E548E">
            <w:pPr>
              <w:pStyle w:val="TableParagraph"/>
              <w:jc w:val="center"/>
              <w:rPr>
                <w:b/>
                <w:sz w:val="18"/>
              </w:rPr>
            </w:pPr>
            <w:r>
              <w:rPr>
                <w:b/>
                <w:color w:val="913592"/>
                <w:sz w:val="18"/>
                <w:lang w:bidi="fr-FR"/>
              </w:rPr>
              <w:t xml:space="preserve">Rapports du </w:t>
            </w:r>
            <w:r>
              <w:rPr>
                <w:b/>
                <w:color w:val="913592"/>
                <w:sz w:val="18"/>
                <w:lang w:bidi="fr-FR"/>
              </w:rPr>
              <w:br/>
              <w:t>département du Ministère de l’éducation</w:t>
            </w:r>
          </w:p>
        </w:tc>
        <w:tc>
          <w:tcPr>
            <w:tcW w:w="5110" w:type="dxa"/>
            <w:tcBorders>
              <w:left w:val="nil"/>
            </w:tcBorders>
            <w:shd w:val="clear" w:color="auto" w:fill="auto"/>
          </w:tcPr>
          <w:p w:rsidR="002E548E" w:rsidRDefault="002E548E" w:rsidP="004B0669">
            <w:pPr>
              <w:pStyle w:val="TableParagraph"/>
              <w:spacing w:before="155" w:line="278" w:lineRule="auto"/>
              <w:ind w:left="113"/>
              <w:rPr>
                <w:sz w:val="18"/>
              </w:rPr>
            </w:pPr>
            <w:r>
              <w:rPr>
                <w:color w:val="57585B"/>
                <w:sz w:val="18"/>
                <w:lang w:bidi="fr-FR"/>
              </w:rPr>
              <w:t>Ces rapports à plus petite échelle comprennent généralement l’état de tous les produits et dépenses prévus figurant</w:t>
            </w:r>
          </w:p>
          <w:p w:rsidR="002E548E" w:rsidRDefault="002E548E" w:rsidP="004B0669">
            <w:pPr>
              <w:pStyle w:val="TableParagraph"/>
              <w:spacing w:line="278" w:lineRule="auto"/>
              <w:ind w:left="113"/>
              <w:rPr>
                <w:sz w:val="18"/>
              </w:rPr>
            </w:pPr>
            <w:proofErr w:type="gramStart"/>
            <w:r>
              <w:rPr>
                <w:color w:val="57585B"/>
                <w:sz w:val="18"/>
                <w:lang w:bidi="fr-FR"/>
              </w:rPr>
              <w:t>dans</w:t>
            </w:r>
            <w:proofErr w:type="gramEnd"/>
            <w:r>
              <w:rPr>
                <w:color w:val="57585B"/>
                <w:sz w:val="18"/>
                <w:lang w:bidi="fr-FR"/>
              </w:rPr>
              <w:t xml:space="preserve"> le plan par les services des départements responsables. Ils incluent également une analyse des causes de retard, de changement, d’inaction et/ou de divergence avec les dépenses prévues.</w:t>
            </w:r>
          </w:p>
        </w:tc>
        <w:tc>
          <w:tcPr>
            <w:tcW w:w="6198" w:type="dxa"/>
            <w:tcBorders>
              <w:right w:val="nil"/>
            </w:tcBorders>
            <w:shd w:val="clear" w:color="auto" w:fill="auto"/>
          </w:tcPr>
          <w:p w:rsidR="002E548E" w:rsidRDefault="002E548E" w:rsidP="002E548E">
            <w:pPr>
              <w:pStyle w:val="TableParagraph"/>
              <w:numPr>
                <w:ilvl w:val="0"/>
                <w:numId w:val="15"/>
              </w:numPr>
              <w:tabs>
                <w:tab w:val="left" w:pos="393"/>
              </w:tabs>
              <w:spacing w:before="155" w:line="278" w:lineRule="auto"/>
              <w:ind w:right="254"/>
              <w:rPr>
                <w:sz w:val="18"/>
              </w:rPr>
            </w:pPr>
            <w:r>
              <w:rPr>
                <w:color w:val="57585B"/>
                <w:sz w:val="18"/>
                <w:lang w:bidi="fr-FR"/>
              </w:rPr>
              <w:t>Existe-t-il des rapports sur la mise en œuvre des programmes d’EPE, la participation familiale et communautaire, l’analyse du personnel et l’assurance qualité ?</w:t>
            </w:r>
          </w:p>
          <w:p w:rsidR="002E548E" w:rsidRDefault="002E548E" w:rsidP="002E548E">
            <w:pPr>
              <w:pStyle w:val="TableParagraph"/>
              <w:numPr>
                <w:ilvl w:val="0"/>
                <w:numId w:val="15"/>
              </w:numPr>
              <w:tabs>
                <w:tab w:val="left" w:pos="392"/>
              </w:tabs>
              <w:spacing w:before="114" w:line="278" w:lineRule="auto"/>
              <w:ind w:right="284"/>
              <w:rPr>
                <w:sz w:val="18"/>
              </w:rPr>
            </w:pPr>
            <w:r>
              <w:rPr>
                <w:color w:val="57585B"/>
                <w:sz w:val="18"/>
                <w:lang w:bidi="fr-FR"/>
              </w:rPr>
              <w:t>Les rapports ont-ils été analysés afin d’éclairer le rapport de la revue sectorielle conjointe sur les progrès, les défis et les prochaines étapes ?</w:t>
            </w:r>
          </w:p>
          <w:p w:rsidR="002E548E" w:rsidRDefault="002E548E" w:rsidP="002E548E">
            <w:pPr>
              <w:pStyle w:val="TableParagraph"/>
              <w:numPr>
                <w:ilvl w:val="0"/>
                <w:numId w:val="15"/>
              </w:numPr>
              <w:tabs>
                <w:tab w:val="left" w:pos="393"/>
              </w:tabs>
              <w:spacing w:before="113"/>
              <w:rPr>
                <w:sz w:val="18"/>
              </w:rPr>
            </w:pPr>
            <w:r>
              <w:rPr>
                <w:color w:val="57585B"/>
                <w:sz w:val="18"/>
                <w:lang w:bidi="fr-FR"/>
              </w:rPr>
              <w:t>Les enseignements ont-ils été identifiés afin de guider le prochain plan de travail annuel après la revue sectorielle conjointe ?</w:t>
            </w:r>
          </w:p>
        </w:tc>
      </w:tr>
      <w:tr w:rsidR="002E548E" w:rsidTr="003B6A36">
        <w:trPr>
          <w:trHeight w:val="2090"/>
        </w:trPr>
        <w:tc>
          <w:tcPr>
            <w:tcW w:w="2264" w:type="dxa"/>
            <w:tcBorders>
              <w:left w:val="nil"/>
              <w:right w:val="nil"/>
            </w:tcBorders>
            <w:shd w:val="clear" w:color="auto" w:fill="auto"/>
            <w:vAlign w:val="center"/>
          </w:tcPr>
          <w:p w:rsidR="002E548E" w:rsidRDefault="002E548E" w:rsidP="002E548E">
            <w:pPr>
              <w:pStyle w:val="TableParagraph"/>
              <w:jc w:val="center"/>
              <w:rPr>
                <w:b/>
                <w:sz w:val="18"/>
              </w:rPr>
            </w:pPr>
            <w:r>
              <w:rPr>
                <w:b/>
                <w:color w:val="913592"/>
                <w:sz w:val="18"/>
                <w:lang w:bidi="fr-FR"/>
              </w:rPr>
              <w:t>Rapports d’autres ministères</w:t>
            </w:r>
          </w:p>
        </w:tc>
        <w:tc>
          <w:tcPr>
            <w:tcW w:w="5110" w:type="dxa"/>
            <w:tcBorders>
              <w:left w:val="nil"/>
            </w:tcBorders>
            <w:shd w:val="clear" w:color="auto" w:fill="auto"/>
          </w:tcPr>
          <w:p w:rsidR="002E548E" w:rsidRDefault="002E548E" w:rsidP="004B0669">
            <w:pPr>
              <w:pStyle w:val="TableParagraph"/>
              <w:spacing w:before="155" w:line="278" w:lineRule="auto"/>
              <w:ind w:left="113"/>
              <w:rPr>
                <w:sz w:val="18"/>
              </w:rPr>
            </w:pPr>
            <w:r>
              <w:rPr>
                <w:color w:val="57585B"/>
                <w:sz w:val="18"/>
                <w:lang w:bidi="fr-FR"/>
              </w:rPr>
              <w:t>Les informations concernant les programmes éducatifs et les lignes budgétaires peuvent être camouflées dans de nombreux ministères, notamment en ce qui concerne le genre, l’éducation informelle, le sport, la santé, les affaires sociales, les affaires civiles et la planification. Dans les pays accueillant un grand nombre de réfugiés, il se peut qu’il existe un ministère chargé des affaires relatives aux réfugiés. Celui-ci devrait également être consulté.</w:t>
            </w:r>
          </w:p>
        </w:tc>
        <w:tc>
          <w:tcPr>
            <w:tcW w:w="6198" w:type="dxa"/>
            <w:tcBorders>
              <w:right w:val="nil"/>
            </w:tcBorders>
            <w:shd w:val="clear" w:color="auto" w:fill="auto"/>
          </w:tcPr>
          <w:p w:rsidR="002E548E" w:rsidRDefault="002E548E" w:rsidP="002E548E">
            <w:pPr>
              <w:pStyle w:val="TableParagraph"/>
              <w:numPr>
                <w:ilvl w:val="0"/>
                <w:numId w:val="14"/>
              </w:numPr>
              <w:tabs>
                <w:tab w:val="left" w:pos="393"/>
              </w:tabs>
              <w:spacing w:before="155" w:line="278" w:lineRule="auto"/>
              <w:ind w:right="275"/>
              <w:rPr>
                <w:sz w:val="18"/>
              </w:rPr>
            </w:pPr>
            <w:r>
              <w:rPr>
                <w:color w:val="57585B"/>
                <w:sz w:val="18"/>
                <w:lang w:bidi="fr-FR"/>
              </w:rPr>
              <w:t>Des services d’EPE (formation des enseignants, élaboration des programmes, assurance qualité, accueil des enfants, protection sociale) sont-ils fournis par d’autres ministères ? Si oui, les rapports de ces ministères ont-ils été examinés afin d’éclairer le rapport de la revue sectorielle conjointe ?</w:t>
            </w:r>
          </w:p>
          <w:p w:rsidR="002E548E" w:rsidRDefault="002E548E" w:rsidP="002E548E">
            <w:pPr>
              <w:pStyle w:val="TableParagraph"/>
              <w:numPr>
                <w:ilvl w:val="0"/>
                <w:numId w:val="14"/>
              </w:numPr>
              <w:tabs>
                <w:tab w:val="left" w:pos="392"/>
              </w:tabs>
              <w:spacing w:before="113"/>
              <w:ind w:left="391" w:hanging="283"/>
              <w:rPr>
                <w:sz w:val="18"/>
              </w:rPr>
            </w:pPr>
            <w:r>
              <w:rPr>
                <w:color w:val="57585B"/>
                <w:sz w:val="18"/>
                <w:lang w:bidi="fr-FR"/>
              </w:rPr>
              <w:t xml:space="preserve">Des personnes travaillant dans ces ministères </w:t>
            </w:r>
            <w:proofErr w:type="spellStart"/>
            <w:r>
              <w:rPr>
                <w:color w:val="57585B"/>
                <w:sz w:val="18"/>
                <w:lang w:bidi="fr-FR"/>
              </w:rPr>
              <w:t>font-elles</w:t>
            </w:r>
            <w:proofErr w:type="spellEnd"/>
            <w:r>
              <w:rPr>
                <w:color w:val="57585B"/>
                <w:sz w:val="18"/>
                <w:lang w:bidi="fr-FR"/>
              </w:rPr>
              <w:t xml:space="preserve"> partie du groupe de travail technique sur l’EPE ?</w:t>
            </w:r>
          </w:p>
        </w:tc>
      </w:tr>
      <w:tr w:rsidR="002E548E" w:rsidTr="004F4969">
        <w:trPr>
          <w:trHeight w:val="2019"/>
        </w:trPr>
        <w:tc>
          <w:tcPr>
            <w:tcW w:w="2264" w:type="dxa"/>
            <w:tcBorders>
              <w:left w:val="nil"/>
              <w:bottom w:val="single" w:sz="2" w:space="0" w:color="auto"/>
              <w:right w:val="nil"/>
            </w:tcBorders>
            <w:shd w:val="clear" w:color="auto" w:fill="auto"/>
            <w:vAlign w:val="center"/>
          </w:tcPr>
          <w:p w:rsidR="002E548E" w:rsidRDefault="002E548E" w:rsidP="002E548E">
            <w:pPr>
              <w:pStyle w:val="TableParagraph"/>
              <w:jc w:val="center"/>
              <w:rPr>
                <w:b/>
                <w:sz w:val="18"/>
              </w:rPr>
            </w:pPr>
            <w:r>
              <w:rPr>
                <w:b/>
                <w:color w:val="913592"/>
                <w:sz w:val="18"/>
                <w:lang w:bidi="fr-FR"/>
              </w:rPr>
              <w:t xml:space="preserve">Rapports régionaux </w:t>
            </w:r>
            <w:r>
              <w:rPr>
                <w:b/>
                <w:color w:val="913592"/>
                <w:sz w:val="18"/>
                <w:lang w:bidi="fr-FR"/>
              </w:rPr>
              <w:br/>
              <w:t>ou locaux</w:t>
            </w:r>
          </w:p>
        </w:tc>
        <w:tc>
          <w:tcPr>
            <w:tcW w:w="5110" w:type="dxa"/>
            <w:tcBorders>
              <w:left w:val="nil"/>
              <w:bottom w:val="single" w:sz="2" w:space="0" w:color="auto"/>
            </w:tcBorders>
            <w:shd w:val="clear" w:color="auto" w:fill="auto"/>
          </w:tcPr>
          <w:p w:rsidR="002E548E" w:rsidRDefault="002E548E" w:rsidP="004B0669">
            <w:pPr>
              <w:pStyle w:val="TableParagraph"/>
              <w:spacing w:before="155" w:line="278" w:lineRule="auto"/>
              <w:ind w:left="113"/>
              <w:rPr>
                <w:sz w:val="18"/>
              </w:rPr>
            </w:pPr>
            <w:r>
              <w:rPr>
                <w:color w:val="57585B"/>
                <w:sz w:val="18"/>
                <w:lang w:bidi="fr-FR"/>
              </w:rPr>
              <w:t>D’importants éléments de preuve sur les progrès effectués dans les engagements pris par le gouvernement aux niveaux décentralisés, lesquels sont réalisés par les autorités officielles ou les organisations de la société civile, peuvent être apportés par des rapports régionaux. Ces rapports sont établis au regard des cibles régionales définies dans les plans opérationnels du plan sectoriel d’éducation.</w:t>
            </w:r>
          </w:p>
        </w:tc>
        <w:tc>
          <w:tcPr>
            <w:tcW w:w="6198" w:type="dxa"/>
            <w:tcBorders>
              <w:bottom w:val="single" w:sz="2" w:space="0" w:color="auto"/>
              <w:right w:val="nil"/>
            </w:tcBorders>
            <w:shd w:val="clear" w:color="auto" w:fill="auto"/>
          </w:tcPr>
          <w:p w:rsidR="002E548E" w:rsidRDefault="002E548E" w:rsidP="002E548E">
            <w:pPr>
              <w:pStyle w:val="TableParagraph"/>
              <w:numPr>
                <w:ilvl w:val="0"/>
                <w:numId w:val="13"/>
              </w:numPr>
              <w:tabs>
                <w:tab w:val="left" w:pos="393"/>
              </w:tabs>
              <w:spacing w:before="155" w:line="278" w:lineRule="auto"/>
              <w:ind w:right="635"/>
              <w:rPr>
                <w:sz w:val="18"/>
              </w:rPr>
            </w:pPr>
            <w:r>
              <w:rPr>
                <w:color w:val="57585B"/>
                <w:sz w:val="18"/>
                <w:lang w:bidi="fr-FR"/>
              </w:rPr>
              <w:t>Existe-t-il des rapports émanant des régions, provinces, comtés ou districts sur les prestations de service d’EPE ? Si oui, ces rapports sont-ils réguliers ?</w:t>
            </w:r>
          </w:p>
          <w:p w:rsidR="002E548E" w:rsidRDefault="002E548E" w:rsidP="002E548E">
            <w:pPr>
              <w:pStyle w:val="TableParagraph"/>
              <w:numPr>
                <w:ilvl w:val="0"/>
                <w:numId w:val="13"/>
              </w:numPr>
              <w:tabs>
                <w:tab w:val="left" w:pos="392"/>
              </w:tabs>
              <w:spacing w:before="114" w:line="278" w:lineRule="auto"/>
              <w:ind w:right="593"/>
              <w:rPr>
                <w:sz w:val="18"/>
              </w:rPr>
            </w:pPr>
            <w:r>
              <w:rPr>
                <w:color w:val="57585B"/>
                <w:sz w:val="18"/>
                <w:lang w:bidi="fr-FR"/>
              </w:rPr>
              <w:t>Ces rapports sont-ils utilisés pour éclairer le rapport du plan de travail annuel au sujet des cibles du plan ?</w:t>
            </w:r>
          </w:p>
          <w:p w:rsidR="002E548E" w:rsidRDefault="002E548E" w:rsidP="002E548E">
            <w:pPr>
              <w:pStyle w:val="TableParagraph"/>
              <w:numPr>
                <w:ilvl w:val="0"/>
                <w:numId w:val="13"/>
              </w:numPr>
              <w:tabs>
                <w:tab w:val="left" w:pos="393"/>
              </w:tabs>
              <w:spacing w:before="113" w:line="278" w:lineRule="auto"/>
              <w:ind w:right="334"/>
              <w:rPr>
                <w:sz w:val="18"/>
              </w:rPr>
            </w:pPr>
            <w:r>
              <w:rPr>
                <w:color w:val="57585B"/>
                <w:sz w:val="18"/>
                <w:lang w:bidi="fr-FR"/>
              </w:rPr>
              <w:t>Ces régions donnent-elles des informations sur l’état des services d’EPE avant et après la revue sectorielle conjointe au regard des progrès, des défis et des prochaines étapes ?</w:t>
            </w:r>
          </w:p>
        </w:tc>
      </w:tr>
    </w:tbl>
    <w:p w:rsidR="00E35672" w:rsidRDefault="00E35672">
      <w:pPr>
        <w:spacing w:line="278" w:lineRule="auto"/>
        <w:rPr>
          <w:sz w:val="18"/>
        </w:rPr>
        <w:sectPr w:rsidR="00E35672">
          <w:headerReference w:type="default" r:id="rId16"/>
          <w:pgSz w:w="15840" w:h="12240" w:orient="landscape"/>
          <w:pgMar w:top="840" w:right="940" w:bottom="280" w:left="860" w:header="574" w:footer="0" w:gutter="0"/>
          <w:pgNumType w:start="5"/>
          <w:cols w:space="720"/>
        </w:sectPr>
      </w:pPr>
    </w:p>
    <w:p w:rsidR="00E35672" w:rsidRDefault="00E35672">
      <w:pPr>
        <w:pStyle w:val="Textoindependiente"/>
        <w:spacing w:before="5" w:after="1"/>
        <w:rPr>
          <w:rFonts w:ascii="Times New Roman"/>
          <w:sz w:val="25"/>
        </w:rPr>
      </w:pPr>
    </w:p>
    <w:tbl>
      <w:tblPr>
        <w:tblStyle w:val="TableNormal1"/>
        <w:tblW w:w="0" w:type="auto"/>
        <w:tblInd w:w="27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4972"/>
        <w:gridCol w:w="6336"/>
      </w:tblGrid>
      <w:tr w:rsidR="00E35672" w:rsidTr="003B6A36">
        <w:trPr>
          <w:trHeight w:val="432"/>
        </w:trPr>
        <w:tc>
          <w:tcPr>
            <w:tcW w:w="2264" w:type="dxa"/>
            <w:tcBorders>
              <w:left w:val="nil"/>
              <w:right w:val="nil"/>
            </w:tcBorders>
            <w:shd w:val="clear" w:color="auto" w:fill="auto"/>
            <w:vAlign w:val="center"/>
          </w:tcPr>
          <w:p w:rsidR="00E35672" w:rsidRDefault="003125F6" w:rsidP="000A1246">
            <w:pPr>
              <w:pStyle w:val="TableParagraph"/>
              <w:spacing w:before="112"/>
              <w:jc w:val="center"/>
              <w:rPr>
                <w:b/>
                <w:sz w:val="18"/>
              </w:rPr>
            </w:pPr>
            <w:r>
              <w:rPr>
                <w:b/>
                <w:color w:val="913592"/>
                <w:sz w:val="18"/>
                <w:lang w:bidi="fr-FR"/>
              </w:rPr>
              <w:t>Domaines</w:t>
            </w:r>
          </w:p>
        </w:tc>
        <w:tc>
          <w:tcPr>
            <w:tcW w:w="4972" w:type="dxa"/>
            <w:tcBorders>
              <w:left w:val="nil"/>
              <w:right w:val="nil"/>
            </w:tcBorders>
            <w:shd w:val="clear" w:color="auto" w:fill="auto"/>
            <w:vAlign w:val="center"/>
          </w:tcPr>
          <w:p w:rsidR="00E35672" w:rsidRDefault="003125F6" w:rsidP="000A1246">
            <w:pPr>
              <w:pStyle w:val="TableParagraph"/>
              <w:spacing w:before="112"/>
              <w:jc w:val="center"/>
              <w:rPr>
                <w:b/>
                <w:sz w:val="18"/>
              </w:rPr>
            </w:pPr>
            <w:r>
              <w:rPr>
                <w:b/>
                <w:color w:val="913592"/>
                <w:sz w:val="18"/>
                <w:lang w:bidi="fr-FR"/>
              </w:rPr>
              <w:t>Guide sur les revues sectorielles conjointes</w:t>
            </w:r>
          </w:p>
        </w:tc>
        <w:tc>
          <w:tcPr>
            <w:tcW w:w="6336" w:type="dxa"/>
            <w:tcBorders>
              <w:left w:val="nil"/>
              <w:right w:val="nil"/>
            </w:tcBorders>
            <w:shd w:val="clear" w:color="auto" w:fill="auto"/>
            <w:vAlign w:val="center"/>
          </w:tcPr>
          <w:p w:rsidR="00E35672" w:rsidRDefault="003125F6" w:rsidP="000A1246">
            <w:pPr>
              <w:pStyle w:val="TableParagraph"/>
              <w:spacing w:before="112"/>
              <w:jc w:val="center"/>
              <w:rPr>
                <w:b/>
                <w:sz w:val="18"/>
              </w:rPr>
            </w:pPr>
            <w:r>
              <w:rPr>
                <w:b/>
                <w:color w:val="913592"/>
                <w:sz w:val="18"/>
                <w:lang w:bidi="fr-FR"/>
              </w:rPr>
              <w:t xml:space="preserve">Questions pour guider l’analyse des sources de données clés : </w:t>
            </w:r>
            <w:r w:rsidR="00D17290">
              <w:rPr>
                <w:b/>
                <w:color w:val="913592"/>
                <w:sz w:val="18"/>
                <w:lang w:bidi="fr-FR"/>
              </w:rPr>
              <w:br/>
            </w:r>
            <w:r>
              <w:rPr>
                <w:b/>
                <w:color w:val="913592"/>
                <w:sz w:val="18"/>
                <w:lang w:bidi="fr-FR"/>
              </w:rPr>
              <w:t>questions spécifiques à l’EPE</w:t>
            </w:r>
          </w:p>
        </w:tc>
      </w:tr>
      <w:tr w:rsidR="00650131" w:rsidTr="003B6A36">
        <w:trPr>
          <w:trHeight w:val="2538"/>
        </w:trPr>
        <w:tc>
          <w:tcPr>
            <w:tcW w:w="2264" w:type="dxa"/>
            <w:tcBorders>
              <w:left w:val="nil"/>
              <w:right w:val="nil"/>
            </w:tcBorders>
            <w:shd w:val="clear" w:color="auto" w:fill="auto"/>
            <w:vAlign w:val="center"/>
          </w:tcPr>
          <w:p w:rsidR="00650131" w:rsidRDefault="00650131" w:rsidP="00650131">
            <w:pPr>
              <w:pStyle w:val="TableParagraph"/>
              <w:jc w:val="center"/>
              <w:rPr>
                <w:rFonts w:ascii="Times New Roman"/>
                <w:sz w:val="20"/>
              </w:rPr>
            </w:pPr>
            <w:r>
              <w:rPr>
                <w:b/>
                <w:color w:val="913592"/>
                <w:sz w:val="18"/>
                <w:lang w:bidi="fr-FR"/>
              </w:rPr>
              <w:t>Rapports et suivi des partenaires</w:t>
            </w:r>
          </w:p>
        </w:tc>
        <w:tc>
          <w:tcPr>
            <w:tcW w:w="4972" w:type="dxa"/>
            <w:tcBorders>
              <w:left w:val="nil"/>
            </w:tcBorders>
            <w:shd w:val="clear" w:color="auto" w:fill="auto"/>
          </w:tcPr>
          <w:p w:rsidR="00650131" w:rsidRDefault="00650131" w:rsidP="00650131">
            <w:pPr>
              <w:pStyle w:val="TableParagraph"/>
              <w:spacing w:before="155" w:line="278" w:lineRule="auto"/>
              <w:ind w:left="117" w:right="357"/>
              <w:rPr>
                <w:color w:val="57585B"/>
                <w:sz w:val="18"/>
                <w:lang w:bidi="fr-FR"/>
              </w:rPr>
            </w:pPr>
            <w:r>
              <w:rPr>
                <w:color w:val="57585B"/>
                <w:sz w:val="18"/>
                <w:lang w:bidi="fr-FR"/>
              </w:rPr>
              <w:t>Cela comprend des ensembles de données spécifiques aux partenaires, des rapports de performance thématiques, et des évaluations à mi-parcours et finales. Dans les situations de conflit ou de catastrophe, les données peuvent également être collectées auprès du Bureau de la coordination des affaires humanitaires des Nations Unies (OCHA), du Haut-Commissariat des Nations Unies pour les réfugiés ou du groupe thématique sur l’éducation. Les données recueillies auprès de l’OCHA peuvent être utiles pour analyser les questions de déplacement. Les données recueillies auprès de l’Organisation internationale pour les migrations (OIM) peuvent être utiles pour analyser les questions de migration.</w:t>
            </w:r>
          </w:p>
        </w:tc>
        <w:tc>
          <w:tcPr>
            <w:tcW w:w="6336" w:type="dxa"/>
            <w:tcBorders>
              <w:right w:val="nil"/>
            </w:tcBorders>
            <w:shd w:val="clear" w:color="auto" w:fill="auto"/>
          </w:tcPr>
          <w:p w:rsidR="00650131" w:rsidRDefault="00650131" w:rsidP="00650131">
            <w:pPr>
              <w:pStyle w:val="TableParagraph"/>
              <w:numPr>
                <w:ilvl w:val="0"/>
                <w:numId w:val="12"/>
              </w:numPr>
              <w:tabs>
                <w:tab w:val="left" w:pos="392"/>
              </w:tabs>
              <w:spacing w:before="155" w:line="278" w:lineRule="auto"/>
              <w:ind w:right="194"/>
              <w:rPr>
                <w:sz w:val="18"/>
              </w:rPr>
            </w:pPr>
            <w:r>
              <w:rPr>
                <w:color w:val="57585B"/>
                <w:sz w:val="18"/>
                <w:lang w:bidi="fr-FR"/>
              </w:rPr>
              <w:t>Existe-t-il des rapports sur l’état des pays, des évaluations ou des données provenant de partenaires qui portent sur l’EPE ? Si oui, ces rapports de données sont-ils utilisés pour éclairer le rapport annuel au regard du plan de travail annuel ?</w:t>
            </w:r>
          </w:p>
          <w:p w:rsidR="00650131" w:rsidRDefault="00650131" w:rsidP="00650131">
            <w:pPr>
              <w:pStyle w:val="TableParagraph"/>
              <w:numPr>
                <w:ilvl w:val="0"/>
                <w:numId w:val="12"/>
              </w:numPr>
              <w:tabs>
                <w:tab w:val="left" w:pos="392"/>
              </w:tabs>
              <w:spacing w:before="113"/>
              <w:ind w:left="391" w:hanging="283"/>
              <w:rPr>
                <w:sz w:val="18"/>
              </w:rPr>
            </w:pPr>
            <w:r>
              <w:rPr>
                <w:color w:val="57585B"/>
                <w:sz w:val="18"/>
                <w:lang w:bidi="fr-FR"/>
              </w:rPr>
              <w:t xml:space="preserve">Certains partenaires </w:t>
            </w:r>
            <w:proofErr w:type="spellStart"/>
            <w:r>
              <w:rPr>
                <w:color w:val="57585B"/>
                <w:sz w:val="18"/>
                <w:lang w:bidi="fr-FR"/>
              </w:rPr>
              <w:t>font-ils</w:t>
            </w:r>
            <w:proofErr w:type="spellEnd"/>
            <w:r>
              <w:rPr>
                <w:color w:val="57585B"/>
                <w:sz w:val="18"/>
                <w:lang w:bidi="fr-FR"/>
              </w:rPr>
              <w:t xml:space="preserve"> partie des groupes de travail techniques sur l’EPE ?</w:t>
            </w:r>
          </w:p>
          <w:p w:rsidR="00044349" w:rsidRDefault="00650131" w:rsidP="00044349">
            <w:pPr>
              <w:pStyle w:val="TableParagraph"/>
              <w:numPr>
                <w:ilvl w:val="0"/>
                <w:numId w:val="12"/>
              </w:numPr>
              <w:tabs>
                <w:tab w:val="left" w:pos="396"/>
              </w:tabs>
              <w:spacing w:before="147" w:line="278" w:lineRule="auto"/>
              <w:ind w:right="394"/>
              <w:rPr>
                <w:sz w:val="18"/>
              </w:rPr>
            </w:pPr>
            <w:r>
              <w:rPr>
                <w:color w:val="57585B"/>
                <w:sz w:val="18"/>
                <w:lang w:bidi="fr-FR"/>
              </w:rPr>
              <w:t>Les interventions des partenaires sont-elles alignées sur le plan de travail annuel et pluriannuel du plan sectoriel d’éducation ?</w:t>
            </w:r>
          </w:p>
          <w:p w:rsidR="00650131" w:rsidRPr="00044349" w:rsidRDefault="00650131" w:rsidP="00044349">
            <w:pPr>
              <w:pStyle w:val="TableParagraph"/>
              <w:numPr>
                <w:ilvl w:val="0"/>
                <w:numId w:val="12"/>
              </w:numPr>
              <w:tabs>
                <w:tab w:val="left" w:pos="396"/>
              </w:tabs>
              <w:spacing w:before="147" w:line="278" w:lineRule="auto"/>
              <w:ind w:right="394"/>
              <w:rPr>
                <w:sz w:val="18"/>
              </w:rPr>
            </w:pPr>
            <w:bookmarkStart w:id="0" w:name="_GoBack"/>
            <w:bookmarkEnd w:id="0"/>
            <w:r w:rsidRPr="00044349">
              <w:rPr>
                <w:color w:val="57585B"/>
                <w:sz w:val="18"/>
                <w:lang w:bidi="fr-FR"/>
              </w:rPr>
              <w:t>Les interventions des partenaires sont-elles comprises dans le cadre de suivi et le processus de collecte de données dont le but est d’éclairer l’actualisation du plan de travail annuel ?</w:t>
            </w:r>
          </w:p>
        </w:tc>
      </w:tr>
      <w:tr w:rsidR="00650131" w:rsidTr="003B6A36">
        <w:trPr>
          <w:trHeight w:val="2538"/>
        </w:trPr>
        <w:tc>
          <w:tcPr>
            <w:tcW w:w="2264" w:type="dxa"/>
            <w:tcBorders>
              <w:left w:val="nil"/>
              <w:right w:val="nil"/>
            </w:tcBorders>
            <w:shd w:val="clear" w:color="auto" w:fill="auto"/>
            <w:vAlign w:val="center"/>
          </w:tcPr>
          <w:p w:rsidR="00650131" w:rsidRDefault="00650131" w:rsidP="00650131">
            <w:pPr>
              <w:pStyle w:val="TableParagraph"/>
              <w:spacing w:line="278" w:lineRule="auto"/>
              <w:ind w:left="195" w:right="186"/>
              <w:jc w:val="center"/>
              <w:rPr>
                <w:b/>
                <w:sz w:val="18"/>
              </w:rPr>
            </w:pPr>
            <w:r>
              <w:rPr>
                <w:b/>
                <w:color w:val="913592"/>
                <w:sz w:val="18"/>
                <w:lang w:bidi="fr-FR"/>
              </w:rPr>
              <w:t>Groupe thématique sur l’éducation en situation d’urgence</w:t>
            </w:r>
          </w:p>
        </w:tc>
        <w:tc>
          <w:tcPr>
            <w:tcW w:w="4972" w:type="dxa"/>
            <w:tcBorders>
              <w:left w:val="nil"/>
            </w:tcBorders>
            <w:shd w:val="clear" w:color="auto" w:fill="auto"/>
          </w:tcPr>
          <w:p w:rsidR="00650131" w:rsidRDefault="00650131" w:rsidP="00650131">
            <w:pPr>
              <w:pStyle w:val="TableParagraph"/>
              <w:spacing w:before="155" w:line="278" w:lineRule="auto"/>
              <w:ind w:left="117" w:right="357"/>
              <w:rPr>
                <w:sz w:val="18"/>
              </w:rPr>
            </w:pPr>
            <w:r>
              <w:rPr>
                <w:color w:val="57585B"/>
                <w:sz w:val="18"/>
                <w:lang w:bidi="fr-FR"/>
              </w:rPr>
              <w:t>Dans les situations fragiles ou marquées par des crises, ou dans les environnements où une crise vient juste de se terminer, la revue sectorielle conjointe peut s’appuyer sur des informations fournies par les partenaires dans le groupe thématique sur l’éducation en situation d’urgence. Ces informations montrent quelles stratégies et interventions ont fonctionné pour encourager l’accès à l’éducation, la qualité d’apprentissage et le bien-être des enfants.</w:t>
            </w:r>
          </w:p>
        </w:tc>
        <w:tc>
          <w:tcPr>
            <w:tcW w:w="6336" w:type="dxa"/>
            <w:tcBorders>
              <w:right w:val="nil"/>
            </w:tcBorders>
            <w:shd w:val="clear" w:color="auto" w:fill="auto"/>
          </w:tcPr>
          <w:p w:rsidR="00650131" w:rsidRDefault="00650131" w:rsidP="00650131">
            <w:pPr>
              <w:pStyle w:val="TableParagraph"/>
              <w:numPr>
                <w:ilvl w:val="0"/>
                <w:numId w:val="11"/>
              </w:numPr>
              <w:tabs>
                <w:tab w:val="left" w:pos="396"/>
              </w:tabs>
              <w:spacing w:before="155"/>
              <w:ind w:hanging="283"/>
              <w:rPr>
                <w:sz w:val="18"/>
              </w:rPr>
            </w:pPr>
            <w:r>
              <w:rPr>
                <w:color w:val="57585B"/>
                <w:sz w:val="18"/>
                <w:lang w:bidi="fr-FR"/>
              </w:rPr>
              <w:t>Une situation d’urgence ou de crise prolongée a-t-elle eu lieu au cours des trois dernières années ?</w:t>
            </w:r>
          </w:p>
          <w:p w:rsidR="00650131" w:rsidRDefault="00650131" w:rsidP="00650131">
            <w:pPr>
              <w:pStyle w:val="TableParagraph"/>
              <w:numPr>
                <w:ilvl w:val="0"/>
                <w:numId w:val="11"/>
              </w:numPr>
              <w:tabs>
                <w:tab w:val="left" w:pos="396"/>
              </w:tabs>
              <w:spacing w:before="147" w:line="278" w:lineRule="auto"/>
              <w:ind w:right="107" w:hanging="283"/>
              <w:rPr>
                <w:sz w:val="18"/>
              </w:rPr>
            </w:pPr>
            <w:r>
              <w:rPr>
                <w:color w:val="57585B"/>
                <w:sz w:val="18"/>
                <w:lang w:bidi="fr-FR"/>
              </w:rPr>
              <w:t xml:space="preserve">Si oui, des services d’EPE avaient-ils été fournis pendant cette urgence ? Qui les a </w:t>
            </w:r>
            <w:proofErr w:type="spellStart"/>
            <w:proofErr w:type="gramStart"/>
            <w:r>
              <w:rPr>
                <w:color w:val="57585B"/>
                <w:sz w:val="18"/>
                <w:lang w:bidi="fr-FR"/>
              </w:rPr>
              <w:t>fournit</w:t>
            </w:r>
            <w:proofErr w:type="spellEnd"/>
            <w:proofErr w:type="gramEnd"/>
            <w:r>
              <w:rPr>
                <w:color w:val="57585B"/>
                <w:sz w:val="18"/>
                <w:lang w:bidi="fr-FR"/>
              </w:rPr>
              <w:t> ? Respectaient-ils les programmes nationaux du pays d’accueil ? Ont-ils été soutenus ou supervisés par le gouvernement d’accueil ?</w:t>
            </w:r>
          </w:p>
          <w:p w:rsidR="00650131" w:rsidRDefault="00650131" w:rsidP="00650131">
            <w:pPr>
              <w:pStyle w:val="TableParagraph"/>
              <w:numPr>
                <w:ilvl w:val="0"/>
                <w:numId w:val="11"/>
              </w:numPr>
              <w:tabs>
                <w:tab w:val="left" w:pos="396"/>
              </w:tabs>
              <w:spacing w:before="113" w:line="278" w:lineRule="auto"/>
              <w:ind w:right="262" w:hanging="283"/>
              <w:rPr>
                <w:sz w:val="18"/>
              </w:rPr>
            </w:pPr>
            <w:r>
              <w:rPr>
                <w:color w:val="57585B"/>
                <w:sz w:val="18"/>
                <w:lang w:bidi="fr-FR"/>
              </w:rPr>
              <w:t>L’analyse des données de suivi et d’évaluation ou de mise en œuvre disponibles apporte-t-elle des enseignements ou des perspectives concernant les stratégies d’intervention ?</w:t>
            </w:r>
          </w:p>
          <w:p w:rsidR="00650131" w:rsidRDefault="00650131" w:rsidP="00650131">
            <w:pPr>
              <w:pStyle w:val="TableParagraph"/>
              <w:numPr>
                <w:ilvl w:val="0"/>
                <w:numId w:val="11"/>
              </w:numPr>
              <w:tabs>
                <w:tab w:val="left" w:pos="396"/>
              </w:tabs>
              <w:spacing w:before="113" w:line="278" w:lineRule="auto"/>
              <w:ind w:right="444" w:hanging="283"/>
              <w:rPr>
                <w:sz w:val="18"/>
              </w:rPr>
            </w:pPr>
            <w:r>
              <w:rPr>
                <w:color w:val="57585B"/>
                <w:sz w:val="18"/>
                <w:lang w:bidi="fr-FR"/>
              </w:rPr>
              <w:t>Ces enseignements sont-ils utilisés pour éclairer les stratégies en matière d’accès, de qualité et de bien-être ?</w:t>
            </w:r>
          </w:p>
        </w:tc>
      </w:tr>
      <w:tr w:rsidR="00650131" w:rsidTr="003B6A36">
        <w:trPr>
          <w:trHeight w:val="2917"/>
        </w:trPr>
        <w:tc>
          <w:tcPr>
            <w:tcW w:w="2264" w:type="dxa"/>
            <w:tcBorders>
              <w:left w:val="nil"/>
              <w:right w:val="nil"/>
            </w:tcBorders>
            <w:shd w:val="clear" w:color="auto" w:fill="auto"/>
            <w:vAlign w:val="center"/>
          </w:tcPr>
          <w:p w:rsidR="00650131" w:rsidRDefault="00650131" w:rsidP="00650131">
            <w:pPr>
              <w:pStyle w:val="TableParagraph"/>
              <w:spacing w:line="278" w:lineRule="auto"/>
              <w:ind w:right="186"/>
              <w:jc w:val="center"/>
              <w:rPr>
                <w:b/>
                <w:sz w:val="18"/>
              </w:rPr>
            </w:pPr>
            <w:r>
              <w:rPr>
                <w:b/>
                <w:color w:val="913592"/>
                <w:sz w:val="18"/>
                <w:lang w:bidi="fr-FR"/>
              </w:rPr>
              <w:t>Rapports sur les engagements mondiaux, sur le sous-secteur ou thématiques</w:t>
            </w:r>
          </w:p>
        </w:tc>
        <w:tc>
          <w:tcPr>
            <w:tcW w:w="4972" w:type="dxa"/>
            <w:tcBorders>
              <w:left w:val="nil"/>
            </w:tcBorders>
            <w:shd w:val="clear" w:color="auto" w:fill="auto"/>
          </w:tcPr>
          <w:p w:rsidR="00650131" w:rsidRDefault="00650131" w:rsidP="00650131">
            <w:pPr>
              <w:pStyle w:val="TableParagraph"/>
              <w:spacing w:before="155" w:line="278" w:lineRule="auto"/>
              <w:ind w:left="117" w:right="308"/>
              <w:rPr>
                <w:sz w:val="18"/>
              </w:rPr>
            </w:pPr>
            <w:r>
              <w:rPr>
                <w:color w:val="57585B"/>
                <w:sz w:val="18"/>
                <w:lang w:bidi="fr-FR"/>
              </w:rPr>
              <w:t>Cela peut comprendre des rapports approfondis au cours de l’année considérée (ou juste avant) commandités ou réalisés par différents ministères, des partenaires du développement et instituts de recherche, et des organisations de la société civile, notamment les rapports du CEDAW (Comité des Nations Unies pour l’élimination de la discrimination à l’égard des femmes) et des ODD. Cela peut contribuer à l’identification des principales causes de défis constants concernant l’apprentissage des élèves, l’abandon scolaire, les jeunes non scolarisés, l’absence des enseignants, la performance organisationnelle, l’efficacité financière et autres questions opérationnelles.</w:t>
            </w:r>
          </w:p>
        </w:tc>
        <w:tc>
          <w:tcPr>
            <w:tcW w:w="6336" w:type="dxa"/>
            <w:tcBorders>
              <w:right w:val="nil"/>
            </w:tcBorders>
            <w:shd w:val="clear" w:color="auto" w:fill="auto"/>
          </w:tcPr>
          <w:p w:rsidR="00650131" w:rsidRDefault="00650131" w:rsidP="00650131">
            <w:pPr>
              <w:pStyle w:val="TableParagraph"/>
              <w:numPr>
                <w:ilvl w:val="0"/>
                <w:numId w:val="10"/>
              </w:numPr>
              <w:tabs>
                <w:tab w:val="left" w:pos="396"/>
              </w:tabs>
              <w:spacing w:before="155" w:line="278" w:lineRule="auto"/>
              <w:ind w:right="480" w:hanging="283"/>
              <w:rPr>
                <w:sz w:val="18"/>
              </w:rPr>
            </w:pPr>
            <w:r>
              <w:rPr>
                <w:color w:val="57585B"/>
                <w:sz w:val="18"/>
                <w:lang w:bidi="fr-FR"/>
              </w:rPr>
              <w:t xml:space="preserve">Un rapport approfondi </w:t>
            </w:r>
            <w:proofErr w:type="spellStart"/>
            <w:r>
              <w:rPr>
                <w:color w:val="57585B"/>
                <w:sz w:val="18"/>
                <w:lang w:bidi="fr-FR"/>
              </w:rPr>
              <w:t>a-t-il</w:t>
            </w:r>
            <w:proofErr w:type="spellEnd"/>
            <w:r>
              <w:rPr>
                <w:color w:val="57585B"/>
                <w:sz w:val="18"/>
                <w:lang w:bidi="fr-FR"/>
              </w:rPr>
              <w:t xml:space="preserve"> été réalisé sur le sous-secteur de l’EPE au cours de l’année considérée ? Si oui, ces rapports contiennent-ils des informations permettant d’éclairer le rapport au regard du plan de travail annuel ?</w:t>
            </w:r>
          </w:p>
          <w:p w:rsidR="00650131" w:rsidRDefault="00650131" w:rsidP="00650131">
            <w:pPr>
              <w:pStyle w:val="TableParagraph"/>
              <w:numPr>
                <w:ilvl w:val="0"/>
                <w:numId w:val="10"/>
              </w:numPr>
              <w:tabs>
                <w:tab w:val="left" w:pos="396"/>
              </w:tabs>
              <w:spacing w:before="113" w:line="278" w:lineRule="auto"/>
              <w:ind w:right="129" w:hanging="283"/>
              <w:rPr>
                <w:sz w:val="18"/>
              </w:rPr>
            </w:pPr>
            <w:r>
              <w:rPr>
                <w:color w:val="57585B"/>
                <w:sz w:val="18"/>
                <w:lang w:bidi="fr-FR"/>
              </w:rPr>
              <w:t>Des défis notables ont-ils été mis en évidence, qui contribuent aux défis constants concernant l’apprentissage des élèves, l’abandon scolaire, les jeunes non scolarisés, l’absence des enseignants, la performance organisationnelle, l’efficacité financière et autres questions opérationnelles ?</w:t>
            </w:r>
          </w:p>
        </w:tc>
      </w:tr>
    </w:tbl>
    <w:p w:rsidR="00E35672" w:rsidRDefault="00E35672">
      <w:pPr>
        <w:pStyle w:val="Textoindependiente"/>
        <w:spacing w:before="6"/>
        <w:rPr>
          <w:rFonts w:ascii="Times New Roman"/>
          <w:sz w:val="18"/>
        </w:rPr>
      </w:pPr>
    </w:p>
    <w:tbl>
      <w:tblPr>
        <w:tblStyle w:val="TableNormal1"/>
        <w:tblW w:w="0" w:type="auto"/>
        <w:tblInd w:w="27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4972"/>
        <w:gridCol w:w="6336"/>
      </w:tblGrid>
      <w:tr w:rsidR="00730BDF" w:rsidTr="00730BDF">
        <w:trPr>
          <w:trHeight w:val="488"/>
        </w:trPr>
        <w:tc>
          <w:tcPr>
            <w:tcW w:w="2264" w:type="dxa"/>
            <w:tcBorders>
              <w:left w:val="nil"/>
              <w:right w:val="nil"/>
            </w:tcBorders>
            <w:shd w:val="clear" w:color="auto" w:fill="auto"/>
            <w:vAlign w:val="center"/>
          </w:tcPr>
          <w:p w:rsidR="00730BDF" w:rsidRDefault="00730BDF" w:rsidP="00730BDF">
            <w:pPr>
              <w:pStyle w:val="TableParagraph"/>
              <w:spacing w:before="1"/>
              <w:ind w:left="107" w:right="100"/>
              <w:jc w:val="center"/>
              <w:rPr>
                <w:b/>
                <w:color w:val="913592"/>
                <w:sz w:val="18"/>
                <w:lang w:bidi="fr-FR"/>
              </w:rPr>
            </w:pPr>
            <w:r>
              <w:rPr>
                <w:b/>
                <w:color w:val="913592"/>
                <w:sz w:val="18"/>
                <w:lang w:bidi="fr-FR"/>
              </w:rPr>
              <w:lastRenderedPageBreak/>
              <w:t>Domaines</w:t>
            </w:r>
          </w:p>
        </w:tc>
        <w:tc>
          <w:tcPr>
            <w:tcW w:w="4972" w:type="dxa"/>
            <w:tcBorders>
              <w:left w:val="nil"/>
            </w:tcBorders>
            <w:shd w:val="clear" w:color="auto" w:fill="auto"/>
            <w:vAlign w:val="center"/>
          </w:tcPr>
          <w:p w:rsidR="00730BDF" w:rsidRDefault="00730BDF" w:rsidP="00730BDF">
            <w:pPr>
              <w:pStyle w:val="TableParagraph"/>
              <w:spacing w:before="155" w:line="278" w:lineRule="auto"/>
              <w:ind w:left="117" w:right="367"/>
              <w:jc w:val="center"/>
              <w:rPr>
                <w:color w:val="57585B"/>
                <w:sz w:val="18"/>
                <w:lang w:bidi="fr-FR"/>
              </w:rPr>
            </w:pPr>
            <w:r>
              <w:rPr>
                <w:b/>
                <w:color w:val="913592"/>
                <w:sz w:val="18"/>
                <w:lang w:bidi="fr-FR"/>
              </w:rPr>
              <w:t>Guide sur les revues sectorielles conjointes</w:t>
            </w:r>
          </w:p>
        </w:tc>
        <w:tc>
          <w:tcPr>
            <w:tcW w:w="6336" w:type="dxa"/>
            <w:tcBorders>
              <w:right w:val="nil"/>
            </w:tcBorders>
            <w:shd w:val="clear" w:color="auto" w:fill="auto"/>
            <w:vAlign w:val="center"/>
          </w:tcPr>
          <w:p w:rsidR="00730BDF" w:rsidRDefault="00730BDF" w:rsidP="00730BDF">
            <w:pPr>
              <w:pStyle w:val="TableParagraph"/>
              <w:tabs>
                <w:tab w:val="left" w:pos="396"/>
              </w:tabs>
              <w:spacing w:before="155" w:line="278" w:lineRule="auto"/>
              <w:ind w:left="112" w:right="397"/>
              <w:jc w:val="center"/>
              <w:rPr>
                <w:color w:val="57585B"/>
                <w:sz w:val="18"/>
                <w:lang w:bidi="fr-FR"/>
              </w:rPr>
            </w:pPr>
            <w:r>
              <w:rPr>
                <w:b/>
                <w:color w:val="913592"/>
                <w:sz w:val="18"/>
                <w:lang w:bidi="fr-FR"/>
              </w:rPr>
              <w:t xml:space="preserve">Questions pour guider l’analyse des sources de données clés : </w:t>
            </w:r>
            <w:r>
              <w:rPr>
                <w:b/>
                <w:color w:val="913592"/>
                <w:sz w:val="18"/>
                <w:lang w:bidi="fr-FR"/>
              </w:rPr>
              <w:br/>
              <w:t>questions spécifiques à l’EPE</w:t>
            </w:r>
          </w:p>
        </w:tc>
      </w:tr>
      <w:tr w:rsidR="00730BDF" w:rsidTr="004F4969">
        <w:trPr>
          <w:trHeight w:val="2192"/>
        </w:trPr>
        <w:tc>
          <w:tcPr>
            <w:tcW w:w="2264" w:type="dxa"/>
            <w:tcBorders>
              <w:left w:val="nil"/>
              <w:right w:val="nil"/>
            </w:tcBorders>
            <w:shd w:val="clear" w:color="auto" w:fill="F1F2F2"/>
            <w:vAlign w:val="center"/>
          </w:tcPr>
          <w:p w:rsidR="00730BDF" w:rsidRDefault="00730BDF" w:rsidP="00FC3700">
            <w:pPr>
              <w:pStyle w:val="TableParagraph"/>
              <w:spacing w:before="1"/>
              <w:ind w:left="107" w:right="100"/>
              <w:jc w:val="center"/>
              <w:rPr>
                <w:b/>
                <w:sz w:val="10"/>
              </w:rPr>
            </w:pPr>
            <w:r>
              <w:rPr>
                <w:b/>
                <w:color w:val="913592"/>
                <w:sz w:val="18"/>
                <w:lang w:bidi="fr-FR"/>
              </w:rPr>
              <w:t>Entretiens avec les parties prenantes</w:t>
            </w:r>
            <w:r>
              <w:rPr>
                <w:b/>
                <w:color w:val="913592"/>
                <w:position w:val="6"/>
                <w:sz w:val="10"/>
                <w:lang w:bidi="fr-FR"/>
              </w:rPr>
              <w:t>2</w:t>
            </w:r>
          </w:p>
        </w:tc>
        <w:tc>
          <w:tcPr>
            <w:tcW w:w="4972" w:type="dxa"/>
            <w:tcBorders>
              <w:left w:val="nil"/>
            </w:tcBorders>
            <w:shd w:val="clear" w:color="auto" w:fill="auto"/>
          </w:tcPr>
          <w:p w:rsidR="00730BDF" w:rsidRDefault="00730BDF" w:rsidP="00FC3700">
            <w:pPr>
              <w:pStyle w:val="TableParagraph"/>
              <w:spacing w:before="155" w:line="278" w:lineRule="auto"/>
              <w:ind w:left="117" w:right="367"/>
              <w:rPr>
                <w:sz w:val="18"/>
              </w:rPr>
            </w:pPr>
            <w:r>
              <w:rPr>
                <w:color w:val="57585B"/>
                <w:sz w:val="18"/>
                <w:lang w:bidi="fr-FR"/>
              </w:rPr>
              <w:t>Ils permettent aux parties prenantes, particulièrement celles qui ne font pas partie du ministère principal du secteur de l’éducation, de rassembler des données probantes directement auprès des représentants des bureaux d’éducation du district/de la région,</w:t>
            </w:r>
          </w:p>
          <w:p w:rsidR="00730BDF" w:rsidRDefault="00730BDF" w:rsidP="00FC3700">
            <w:pPr>
              <w:pStyle w:val="TableParagraph"/>
              <w:spacing w:line="278" w:lineRule="auto"/>
              <w:ind w:left="117" w:right="187"/>
              <w:rPr>
                <w:sz w:val="18"/>
              </w:rPr>
            </w:pPr>
            <w:proofErr w:type="gramStart"/>
            <w:r>
              <w:rPr>
                <w:color w:val="57585B"/>
                <w:sz w:val="18"/>
                <w:lang w:bidi="fr-FR"/>
              </w:rPr>
              <w:t>des</w:t>
            </w:r>
            <w:proofErr w:type="gramEnd"/>
            <w:r>
              <w:rPr>
                <w:color w:val="57585B"/>
                <w:sz w:val="18"/>
                <w:lang w:bidi="fr-FR"/>
              </w:rPr>
              <w:t xml:space="preserve"> enseignants, des directeurs d’école, des comités de gestion des écoles, des parents et autres personnes qui s’occupent d’enfants, et des réseaux de jeunes.</w:t>
            </w:r>
          </w:p>
        </w:tc>
        <w:tc>
          <w:tcPr>
            <w:tcW w:w="6336" w:type="dxa"/>
            <w:tcBorders>
              <w:right w:val="nil"/>
            </w:tcBorders>
          </w:tcPr>
          <w:p w:rsidR="00730BDF" w:rsidRDefault="00730BDF" w:rsidP="00FC3700">
            <w:pPr>
              <w:pStyle w:val="TableParagraph"/>
              <w:numPr>
                <w:ilvl w:val="0"/>
                <w:numId w:val="9"/>
              </w:numPr>
              <w:tabs>
                <w:tab w:val="left" w:pos="396"/>
              </w:tabs>
              <w:spacing w:before="155" w:line="278" w:lineRule="auto"/>
              <w:ind w:right="397" w:hanging="283"/>
              <w:rPr>
                <w:sz w:val="18"/>
              </w:rPr>
            </w:pPr>
            <w:r>
              <w:rPr>
                <w:color w:val="57585B"/>
                <w:sz w:val="18"/>
                <w:lang w:bidi="fr-FR"/>
              </w:rPr>
              <w:t>Existe-t-il un processus de participation des parties prenantes à la fois au niveau du pays, de la région, des districts et de l’école, antérieur à la revue sectorielle conjointe ?</w:t>
            </w:r>
          </w:p>
          <w:p w:rsidR="00730BDF" w:rsidRDefault="00730BDF" w:rsidP="00FC3700">
            <w:pPr>
              <w:pStyle w:val="TableParagraph"/>
              <w:numPr>
                <w:ilvl w:val="0"/>
                <w:numId w:val="9"/>
              </w:numPr>
              <w:tabs>
                <w:tab w:val="left" w:pos="396"/>
              </w:tabs>
              <w:spacing w:before="114" w:line="278" w:lineRule="auto"/>
              <w:ind w:right="175" w:hanging="283"/>
              <w:rPr>
                <w:sz w:val="18"/>
              </w:rPr>
            </w:pPr>
            <w:r>
              <w:rPr>
                <w:color w:val="57585B"/>
                <w:sz w:val="18"/>
                <w:lang w:bidi="fr-FR"/>
              </w:rPr>
              <w:t>Existe-t-il des outils structurés pour encourager la participation des parties prenantes dans la collecte de données ?</w:t>
            </w:r>
          </w:p>
          <w:p w:rsidR="00730BDF" w:rsidRDefault="00730BDF" w:rsidP="00FC3700">
            <w:pPr>
              <w:pStyle w:val="TableParagraph"/>
              <w:numPr>
                <w:ilvl w:val="0"/>
                <w:numId w:val="9"/>
              </w:numPr>
              <w:tabs>
                <w:tab w:val="left" w:pos="396"/>
              </w:tabs>
              <w:spacing w:before="113" w:line="278" w:lineRule="auto"/>
              <w:ind w:right="516" w:hanging="283"/>
              <w:rPr>
                <w:sz w:val="18"/>
              </w:rPr>
            </w:pPr>
            <w:r>
              <w:rPr>
                <w:color w:val="57585B"/>
                <w:sz w:val="18"/>
                <w:lang w:bidi="fr-FR"/>
              </w:rPr>
              <w:t>Les résultats de la participation des parties prenantes sont-ils utilisés pour éclairer le rapport au regard du plan de travail annuel ?</w:t>
            </w:r>
          </w:p>
        </w:tc>
      </w:tr>
    </w:tbl>
    <w:p w:rsidR="00730BDF" w:rsidRDefault="00730BDF">
      <w:pPr>
        <w:pStyle w:val="Textoindependiente"/>
        <w:spacing w:before="6"/>
        <w:rPr>
          <w:rFonts w:ascii="Times New Roman"/>
          <w:sz w:val="18"/>
        </w:rPr>
      </w:pPr>
    </w:p>
    <w:p w:rsidR="00E35672" w:rsidRDefault="003125F6">
      <w:pPr>
        <w:spacing w:before="95"/>
        <w:ind w:left="273"/>
        <w:rPr>
          <w:sz w:val="14"/>
        </w:rPr>
      </w:pPr>
      <w:r>
        <w:rPr>
          <w:color w:val="6D6E71"/>
          <w:sz w:val="14"/>
          <w:lang w:bidi="fr-FR"/>
        </w:rPr>
        <w:t>Source : Les revues sectorielles conjointes dans le secteur de l’éducation (2018). Guide pratique pour l’organisation de revues efficaces.</w:t>
      </w:r>
    </w:p>
    <w:p w:rsidR="00E35672" w:rsidRDefault="00E35672">
      <w:pPr>
        <w:pStyle w:val="Textoindependiente"/>
        <w:spacing w:before="7"/>
      </w:pPr>
    </w:p>
    <w:p w:rsidR="00E35672" w:rsidRDefault="00920408">
      <w:pPr>
        <w:spacing w:line="268" w:lineRule="auto"/>
        <w:ind w:left="557" w:right="262" w:hanging="284"/>
        <w:jc w:val="both"/>
        <w:rPr>
          <w:sz w:val="14"/>
        </w:rPr>
      </w:pPr>
      <w:hyperlink w:anchor="_bookmark0" w:history="1">
        <w:r w:rsidR="003125F6">
          <w:rPr>
            <w:color w:val="6D6E71"/>
            <w:sz w:val="14"/>
            <w:lang w:bidi="fr-FR"/>
          </w:rPr>
          <w:t>2</w:t>
        </w:r>
      </w:hyperlink>
      <w:r w:rsidR="00D37804">
        <w:rPr>
          <w:color w:val="6D6E71"/>
          <w:sz w:val="14"/>
          <w:lang w:bidi="fr-FR"/>
        </w:rPr>
        <w:t xml:space="preserve"> </w:t>
      </w:r>
      <w:r w:rsidR="003125F6">
        <w:rPr>
          <w:color w:val="6D6E71"/>
          <w:sz w:val="14"/>
          <w:lang w:bidi="fr-FR"/>
        </w:rPr>
        <w:t>Par exemple, à l’approche de sa revue sectorielle conjointe en 2019, le Gouvernement de Tanzanie a organisé des visites sur le terrain dans six régions. Cela a été l’occasion parfaite d’évaluer la mise en œuvre annuelle des cibles définies dans le plan d’éducation pour la période 2017-2021, tout en observant les meilleures pratiques et les défis rencontrés dans plusieurs programmes mis en œuvre dans des institutions d’enseignement. Les résultats des visites ont révélé d</w:t>
      </w:r>
      <w:r w:rsidR="00D37804">
        <w:rPr>
          <w:color w:val="6D6E71"/>
          <w:sz w:val="14"/>
          <w:lang w:bidi="fr-FR"/>
        </w:rPr>
        <w:t>’</w:t>
      </w:r>
      <w:r w:rsidR="003125F6">
        <w:rPr>
          <w:color w:val="6D6E71"/>
          <w:sz w:val="14"/>
          <w:lang w:bidi="fr-FR"/>
        </w:rPr>
        <w:t>importants défis dans le sous-secteur de l</w:t>
      </w:r>
      <w:r w:rsidR="00D37804">
        <w:rPr>
          <w:color w:val="6D6E71"/>
          <w:sz w:val="14"/>
          <w:lang w:bidi="fr-FR"/>
        </w:rPr>
        <w:t>’</w:t>
      </w:r>
      <w:r w:rsidR="003125F6">
        <w:rPr>
          <w:color w:val="6D6E71"/>
          <w:sz w:val="14"/>
          <w:lang w:bidi="fr-FR"/>
        </w:rPr>
        <w:t xml:space="preserve">EPE, notamment le fait que de nombreuses écoles ne disposaient pas de salles de classe pour l’enseignement </w:t>
      </w:r>
      <w:proofErr w:type="spellStart"/>
      <w:r w:rsidR="003125F6">
        <w:rPr>
          <w:color w:val="6D6E71"/>
          <w:sz w:val="14"/>
          <w:lang w:bidi="fr-FR"/>
        </w:rPr>
        <w:t>préprimaire</w:t>
      </w:r>
      <w:proofErr w:type="spellEnd"/>
      <w:r w:rsidR="003125F6">
        <w:rPr>
          <w:color w:val="6D6E71"/>
          <w:sz w:val="14"/>
          <w:lang w:bidi="fr-FR"/>
        </w:rPr>
        <w:t>. Les cours étaient donc dispensés dans des salles de classe standard, sans méthodes ni supports d</w:t>
      </w:r>
      <w:r w:rsidR="00D37804">
        <w:rPr>
          <w:color w:val="6D6E71"/>
          <w:sz w:val="14"/>
          <w:lang w:bidi="fr-FR"/>
        </w:rPr>
        <w:t>’</w:t>
      </w:r>
      <w:r w:rsidR="003125F6">
        <w:rPr>
          <w:color w:val="6D6E71"/>
          <w:sz w:val="14"/>
          <w:lang w:bidi="fr-FR"/>
        </w:rPr>
        <w:t>apprentissage adaptés à l</w:t>
      </w:r>
      <w:r w:rsidR="00D37804">
        <w:rPr>
          <w:color w:val="6D6E71"/>
          <w:sz w:val="14"/>
          <w:lang w:bidi="fr-FR"/>
        </w:rPr>
        <w:t>’</w:t>
      </w:r>
      <w:r w:rsidR="003125F6">
        <w:rPr>
          <w:color w:val="6D6E71"/>
          <w:sz w:val="14"/>
          <w:lang w:bidi="fr-FR"/>
        </w:rPr>
        <w:t>âge des enfants.</w:t>
      </w:r>
    </w:p>
    <w:p w:rsidR="00E35672" w:rsidRDefault="00E35672">
      <w:pPr>
        <w:spacing w:line="268" w:lineRule="auto"/>
        <w:jc w:val="both"/>
        <w:rPr>
          <w:sz w:val="14"/>
        </w:rPr>
        <w:sectPr w:rsidR="00E35672">
          <w:pgSz w:w="15840" w:h="12240" w:orient="landscape"/>
          <w:pgMar w:top="840" w:right="940" w:bottom="280" w:left="860" w:header="574" w:footer="0" w:gutter="0"/>
          <w:cols w:space="720"/>
        </w:sectPr>
      </w:pPr>
    </w:p>
    <w:p w:rsidR="00E35672" w:rsidRDefault="003125F6">
      <w:pPr>
        <w:pStyle w:val="Ttulo1"/>
        <w:spacing w:before="114"/>
      </w:pPr>
      <w:r>
        <w:rPr>
          <w:color w:val="913592"/>
          <w:lang w:bidi="fr-FR"/>
        </w:rPr>
        <w:lastRenderedPageBreak/>
        <w:t>TABLEAU 3</w:t>
      </w:r>
    </w:p>
    <w:p w:rsidR="00E35672" w:rsidRPr="00D962C7" w:rsidRDefault="00E35672">
      <w:pPr>
        <w:pStyle w:val="Textoindependiente"/>
        <w:spacing w:before="3"/>
        <w:rPr>
          <w:b/>
        </w:rPr>
      </w:pPr>
    </w:p>
    <w:p w:rsidR="00E35672" w:rsidRPr="00D962C7" w:rsidRDefault="003125F6" w:rsidP="00DB7829">
      <w:pPr>
        <w:pStyle w:val="Textoindependiente"/>
        <w:spacing w:line="292" w:lineRule="auto"/>
        <w:ind w:left="143" w:right="586"/>
      </w:pPr>
      <w:r w:rsidRPr="00D962C7">
        <w:rPr>
          <w:color w:val="57585B"/>
          <w:spacing w:val="-3"/>
          <w:lang w:bidi="fr-FR"/>
        </w:rPr>
        <w:t>Le tableau 3 présente les caractéristiques de la revue sectorielle conjointe qui sont essentielles pour aider le groupe de travail technique sur l’EPE à (a) comprendre ; (b) réfléchir à la façon dont l’EPE devrait être intégrée dans la revue sectorielle conjointe en tenant compte du contexte du pays ; et (c) soutenir les efforts de planification et les discussions avec les parties prenantes du secteur de l’éducation au sens plus large qui préparent et facilitent la revue sectorielle conjointe.</w:t>
      </w:r>
    </w:p>
    <w:p w:rsidR="008F671C" w:rsidRDefault="008F671C">
      <w:pPr>
        <w:pStyle w:val="Textoindependiente"/>
        <w:spacing w:before="4"/>
        <w:rPr>
          <w:b/>
          <w:sz w:val="8"/>
        </w:rPr>
      </w:pPr>
    </w:p>
    <w:tbl>
      <w:tblPr>
        <w:tblStyle w:val="TableNormal1"/>
        <w:tblW w:w="0" w:type="auto"/>
        <w:tblInd w:w="15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4250"/>
        <w:gridCol w:w="7247"/>
      </w:tblGrid>
      <w:tr w:rsidR="008F671C" w:rsidTr="006D5700">
        <w:trPr>
          <w:trHeight w:val="444"/>
        </w:trPr>
        <w:tc>
          <w:tcPr>
            <w:tcW w:w="13760" w:type="dxa"/>
            <w:gridSpan w:val="3"/>
            <w:tcBorders>
              <w:left w:val="nil"/>
              <w:right w:val="nil"/>
            </w:tcBorders>
            <w:shd w:val="clear" w:color="auto" w:fill="auto"/>
          </w:tcPr>
          <w:p w:rsidR="008F671C" w:rsidRPr="008F671C" w:rsidRDefault="008F671C" w:rsidP="008F671C">
            <w:pPr>
              <w:pStyle w:val="Ttulo2"/>
              <w:spacing w:before="100"/>
              <w:ind w:left="142" w:right="0"/>
              <w:jc w:val="center"/>
              <w:rPr>
                <w:color w:val="57585B"/>
                <w:lang w:bidi="fr-FR"/>
              </w:rPr>
            </w:pPr>
            <w:r>
              <w:rPr>
                <w:color w:val="57585B"/>
                <w:lang w:bidi="fr-FR"/>
              </w:rPr>
              <w:t xml:space="preserve">Tableau 3 : Caractéristiques de la revue sectorielle conjointe et exemples nationaux de la manière dont le sous-secteur </w:t>
            </w:r>
            <w:r>
              <w:rPr>
                <w:color w:val="57585B"/>
                <w:lang w:bidi="fr-FR"/>
              </w:rPr>
              <w:br/>
              <w:t>de l’EPE peut être représenté</w:t>
            </w:r>
          </w:p>
        </w:tc>
      </w:tr>
      <w:tr w:rsidR="00E35672" w:rsidTr="006D5700">
        <w:trPr>
          <w:trHeight w:val="444"/>
        </w:trPr>
        <w:tc>
          <w:tcPr>
            <w:tcW w:w="2263" w:type="dxa"/>
            <w:tcBorders>
              <w:left w:val="nil"/>
              <w:right w:val="nil"/>
            </w:tcBorders>
          </w:tcPr>
          <w:p w:rsidR="00E35672" w:rsidRDefault="00E35672">
            <w:pPr>
              <w:pStyle w:val="TableParagraph"/>
              <w:rPr>
                <w:rFonts w:ascii="Times New Roman"/>
                <w:sz w:val="18"/>
              </w:rPr>
            </w:pPr>
          </w:p>
        </w:tc>
        <w:tc>
          <w:tcPr>
            <w:tcW w:w="4250" w:type="dxa"/>
            <w:tcBorders>
              <w:left w:val="nil"/>
              <w:right w:val="nil"/>
            </w:tcBorders>
          </w:tcPr>
          <w:p w:rsidR="00E35672" w:rsidRPr="00DB7829" w:rsidRDefault="003125F6" w:rsidP="004C2D2A">
            <w:pPr>
              <w:pStyle w:val="TableParagraph"/>
              <w:spacing w:before="40"/>
              <w:jc w:val="center"/>
              <w:rPr>
                <w:b/>
                <w:sz w:val="18"/>
                <w:szCs w:val="18"/>
              </w:rPr>
            </w:pPr>
            <w:r w:rsidRPr="00DB7829">
              <w:rPr>
                <w:b/>
                <w:color w:val="913592"/>
                <w:sz w:val="18"/>
                <w:szCs w:val="18"/>
                <w:lang w:bidi="fr-FR"/>
              </w:rPr>
              <w:t xml:space="preserve">Caractéristiques de la revue sectorielle </w:t>
            </w:r>
            <w:r w:rsidR="00437998">
              <w:rPr>
                <w:b/>
                <w:color w:val="913592"/>
                <w:sz w:val="18"/>
                <w:szCs w:val="18"/>
                <w:lang w:bidi="fr-FR"/>
              </w:rPr>
              <w:br/>
            </w:r>
            <w:r w:rsidRPr="00DB7829">
              <w:rPr>
                <w:b/>
                <w:color w:val="913592"/>
                <w:sz w:val="18"/>
                <w:szCs w:val="18"/>
                <w:lang w:bidi="fr-FR"/>
              </w:rPr>
              <w:t>conjointe annuelle</w:t>
            </w:r>
          </w:p>
        </w:tc>
        <w:tc>
          <w:tcPr>
            <w:tcW w:w="7247" w:type="dxa"/>
            <w:tcBorders>
              <w:left w:val="nil"/>
              <w:right w:val="nil"/>
            </w:tcBorders>
            <w:shd w:val="clear" w:color="auto" w:fill="auto"/>
          </w:tcPr>
          <w:p w:rsidR="00E35672" w:rsidRPr="00DB7829" w:rsidRDefault="003125F6" w:rsidP="004C2D2A">
            <w:pPr>
              <w:pStyle w:val="TableParagraph"/>
              <w:spacing w:before="40"/>
              <w:jc w:val="center"/>
              <w:rPr>
                <w:b/>
                <w:sz w:val="18"/>
                <w:szCs w:val="18"/>
              </w:rPr>
            </w:pPr>
            <w:r w:rsidRPr="00DB7829">
              <w:rPr>
                <w:b/>
                <w:color w:val="913592"/>
                <w:sz w:val="18"/>
                <w:szCs w:val="18"/>
                <w:lang w:bidi="fr-FR"/>
              </w:rPr>
              <w:t>Considérations propres au sous-secteur de l’EPE</w:t>
            </w:r>
          </w:p>
        </w:tc>
      </w:tr>
      <w:tr w:rsidR="00E35672" w:rsidTr="006D5700">
        <w:trPr>
          <w:trHeight w:val="1967"/>
        </w:trPr>
        <w:tc>
          <w:tcPr>
            <w:tcW w:w="2263" w:type="dxa"/>
            <w:tcBorders>
              <w:left w:val="nil"/>
              <w:right w:val="nil"/>
            </w:tcBorders>
            <w:shd w:val="clear" w:color="auto" w:fill="F1F2F2"/>
            <w:vAlign w:val="center"/>
          </w:tcPr>
          <w:p w:rsidR="00E35672" w:rsidRDefault="003125F6" w:rsidP="005C54A4">
            <w:pPr>
              <w:pStyle w:val="TableParagraph"/>
              <w:ind w:left="293" w:right="293"/>
              <w:jc w:val="center"/>
              <w:rPr>
                <w:b/>
                <w:sz w:val="18"/>
              </w:rPr>
            </w:pPr>
            <w:r>
              <w:rPr>
                <w:b/>
                <w:color w:val="913592"/>
                <w:sz w:val="18"/>
                <w:lang w:bidi="fr-FR"/>
              </w:rPr>
              <w:t>Finalité</w:t>
            </w:r>
          </w:p>
        </w:tc>
        <w:tc>
          <w:tcPr>
            <w:tcW w:w="4250" w:type="dxa"/>
            <w:tcBorders>
              <w:left w:val="nil"/>
            </w:tcBorders>
          </w:tcPr>
          <w:p w:rsidR="00E35672" w:rsidRPr="00DB7829" w:rsidRDefault="003125F6" w:rsidP="001539AE">
            <w:pPr>
              <w:pStyle w:val="TableParagraph"/>
              <w:spacing w:before="127" w:line="278" w:lineRule="auto"/>
              <w:ind w:left="113" w:right="136"/>
              <w:rPr>
                <w:sz w:val="18"/>
              </w:rPr>
            </w:pPr>
            <w:r w:rsidRPr="00DB7829">
              <w:rPr>
                <w:color w:val="57585B"/>
                <w:sz w:val="18"/>
                <w:lang w:bidi="fr-FR"/>
              </w:rPr>
              <w:t>Évaluer les progrès annuels de la mise en œuvre du plan sectoriel de manière à influer sur la planification opérationnelle de l’année ou des années suivante(s)</w:t>
            </w:r>
          </w:p>
        </w:tc>
        <w:tc>
          <w:tcPr>
            <w:tcW w:w="7247" w:type="dxa"/>
            <w:tcBorders>
              <w:right w:val="nil"/>
            </w:tcBorders>
            <w:shd w:val="clear" w:color="auto" w:fill="auto"/>
          </w:tcPr>
          <w:p w:rsidR="00E35672" w:rsidRDefault="003125F6" w:rsidP="002F3238">
            <w:pPr>
              <w:pStyle w:val="TableParagraph"/>
              <w:spacing w:before="127"/>
              <w:ind w:left="113" w:right="28"/>
              <w:rPr>
                <w:sz w:val="18"/>
              </w:rPr>
            </w:pPr>
            <w:r>
              <w:rPr>
                <w:color w:val="57585B"/>
                <w:spacing w:val="-3"/>
                <w:sz w:val="18"/>
                <w:lang w:bidi="fr-FR"/>
              </w:rPr>
              <w:t xml:space="preserve">L’orientation annuelle, fondée sur la raison pour laquelle la revue sectorielle conjointe est menée, varie d’un pays à l’autre. </w:t>
            </w:r>
            <w:r>
              <w:rPr>
                <w:b/>
                <w:color w:val="57585B"/>
                <w:spacing w:val="-4"/>
                <w:sz w:val="18"/>
                <w:lang w:bidi="fr-FR"/>
              </w:rPr>
              <w:t>En Tanzanie</w:t>
            </w:r>
            <w:r>
              <w:rPr>
                <w:color w:val="57585B"/>
                <w:spacing w:val="-6"/>
                <w:sz w:val="18"/>
                <w:lang w:bidi="fr-FR"/>
              </w:rPr>
              <w:t>, l’EPE était un domaine d’intervention en 2019 et l’orientation annuelle de la revue sectorielle conjointe était : « Faire progresser l’éducation grâce à des partenariats solides ».</w:t>
            </w:r>
          </w:p>
          <w:p w:rsidR="00E35672" w:rsidRDefault="003125F6" w:rsidP="002F3238">
            <w:pPr>
              <w:pStyle w:val="TableParagraph"/>
              <w:spacing w:before="127"/>
              <w:ind w:left="107" w:right="28"/>
              <w:rPr>
                <w:sz w:val="18"/>
              </w:rPr>
            </w:pPr>
            <w:r>
              <w:rPr>
                <w:color w:val="57585B"/>
                <w:sz w:val="18"/>
                <w:lang w:bidi="fr-FR"/>
              </w:rPr>
              <w:t>En </w:t>
            </w:r>
            <w:r>
              <w:rPr>
                <w:b/>
                <w:color w:val="57585B"/>
                <w:spacing w:val="-4"/>
                <w:sz w:val="18"/>
                <w:lang w:bidi="fr-FR"/>
              </w:rPr>
              <w:t xml:space="preserve">2016, le Burkina Faso </w:t>
            </w:r>
            <w:r>
              <w:rPr>
                <w:color w:val="57585B"/>
                <w:spacing w:val="-4"/>
                <w:sz w:val="18"/>
                <w:lang w:bidi="fr-FR"/>
              </w:rPr>
              <w:t>a utilisé le thème : « À la croisée des efforts de planification et de suivi de l’éducation ». Puisque la revue sectorielle conjointe était orientée sur la planification et le suivi des efforts d’éducation dans l’ensemble du système, l’EPE a été intégrée et envisagée comme une partie du système pendant les séances.</w:t>
            </w:r>
          </w:p>
        </w:tc>
      </w:tr>
      <w:tr w:rsidR="00E35672" w:rsidTr="006D5700">
        <w:trPr>
          <w:trHeight w:val="1549"/>
        </w:trPr>
        <w:tc>
          <w:tcPr>
            <w:tcW w:w="2263" w:type="dxa"/>
            <w:tcBorders>
              <w:left w:val="nil"/>
              <w:right w:val="nil"/>
            </w:tcBorders>
            <w:shd w:val="clear" w:color="auto" w:fill="F1F2F2"/>
            <w:vAlign w:val="center"/>
          </w:tcPr>
          <w:p w:rsidR="00E35672" w:rsidRDefault="003125F6" w:rsidP="005C54A4">
            <w:pPr>
              <w:pStyle w:val="TableParagraph"/>
              <w:ind w:left="293" w:right="293"/>
              <w:jc w:val="center"/>
              <w:rPr>
                <w:b/>
                <w:sz w:val="18"/>
              </w:rPr>
            </w:pPr>
            <w:r>
              <w:rPr>
                <w:b/>
                <w:color w:val="913592"/>
                <w:sz w:val="18"/>
                <w:lang w:bidi="fr-FR"/>
              </w:rPr>
              <w:t>Calendrier</w:t>
            </w:r>
          </w:p>
        </w:tc>
        <w:tc>
          <w:tcPr>
            <w:tcW w:w="4250" w:type="dxa"/>
            <w:tcBorders>
              <w:left w:val="nil"/>
            </w:tcBorders>
          </w:tcPr>
          <w:p w:rsidR="00E35672" w:rsidRPr="00DB7829" w:rsidRDefault="003125F6" w:rsidP="001539AE">
            <w:pPr>
              <w:pStyle w:val="TableParagraph"/>
              <w:spacing w:before="127"/>
              <w:ind w:left="113" w:right="136"/>
              <w:rPr>
                <w:sz w:val="18"/>
              </w:rPr>
            </w:pPr>
            <w:r w:rsidRPr="00DB7829">
              <w:rPr>
                <w:color w:val="57585B"/>
                <w:sz w:val="18"/>
                <w:lang w:bidi="fr-FR"/>
              </w:rPr>
              <w:t>Une ou deux fois par an</w:t>
            </w:r>
          </w:p>
        </w:tc>
        <w:tc>
          <w:tcPr>
            <w:tcW w:w="7247" w:type="dxa"/>
            <w:tcBorders>
              <w:right w:val="nil"/>
            </w:tcBorders>
            <w:shd w:val="clear" w:color="auto" w:fill="auto"/>
          </w:tcPr>
          <w:p w:rsidR="00E35672" w:rsidRDefault="003125F6" w:rsidP="002F3238">
            <w:pPr>
              <w:pStyle w:val="TableParagraph"/>
              <w:spacing w:before="127"/>
              <w:ind w:left="113" w:right="28"/>
              <w:rPr>
                <w:sz w:val="18"/>
              </w:rPr>
            </w:pPr>
            <w:r>
              <w:rPr>
                <w:color w:val="57585B"/>
                <w:sz w:val="18"/>
                <w:lang w:bidi="fr-FR"/>
              </w:rPr>
              <w:t xml:space="preserve">Il est essentiel de comprendre le calendrier de la revue sectorielle conjointe afin de guider la préparation et la planification. Au </w:t>
            </w:r>
            <w:r>
              <w:rPr>
                <w:b/>
                <w:color w:val="57585B"/>
                <w:spacing w:val="-4"/>
                <w:sz w:val="18"/>
                <w:lang w:bidi="fr-FR"/>
              </w:rPr>
              <w:t xml:space="preserve">Cambodge, </w:t>
            </w:r>
            <w:r>
              <w:rPr>
                <w:color w:val="57585B"/>
                <w:spacing w:val="-3"/>
                <w:sz w:val="18"/>
                <w:lang w:bidi="fr-FR"/>
              </w:rPr>
              <w:t>une revue sectorielle conjointe est organisée une fois par an et comprend à la fois des éléments rétrospectifs et prospectifs (voir les définitions ci-dessous).</w:t>
            </w:r>
          </w:p>
          <w:p w:rsidR="00E35672" w:rsidRDefault="003125F6" w:rsidP="002F3238">
            <w:pPr>
              <w:pStyle w:val="TableParagraph"/>
              <w:spacing w:before="127"/>
              <w:ind w:left="107" w:right="28"/>
              <w:rPr>
                <w:sz w:val="18"/>
              </w:rPr>
            </w:pPr>
            <w:r>
              <w:rPr>
                <w:color w:val="57585B"/>
                <w:spacing w:val="-3"/>
                <w:sz w:val="18"/>
                <w:lang w:bidi="fr-FR"/>
              </w:rPr>
              <w:t xml:space="preserve">Au </w:t>
            </w:r>
            <w:r>
              <w:rPr>
                <w:b/>
                <w:color w:val="57585B"/>
                <w:spacing w:val="-5"/>
                <w:sz w:val="18"/>
                <w:lang w:bidi="fr-FR"/>
              </w:rPr>
              <w:t xml:space="preserve">Rwanda, une revue sectorielle conjointe </w:t>
            </w:r>
            <w:r>
              <w:rPr>
                <w:color w:val="57585B"/>
                <w:spacing w:val="-3"/>
                <w:sz w:val="18"/>
                <w:lang w:bidi="fr-FR"/>
              </w:rPr>
              <w:t>est organisée deux fois par an, l’une étant rétrospective et l’autre prospective.</w:t>
            </w:r>
          </w:p>
        </w:tc>
      </w:tr>
      <w:tr w:rsidR="00E35672" w:rsidTr="006D5700">
        <w:trPr>
          <w:trHeight w:val="3783"/>
        </w:trPr>
        <w:tc>
          <w:tcPr>
            <w:tcW w:w="2263" w:type="dxa"/>
            <w:tcBorders>
              <w:left w:val="nil"/>
              <w:right w:val="single" w:sz="2" w:space="0" w:color="808080" w:themeColor="background1" w:themeShade="80"/>
            </w:tcBorders>
            <w:shd w:val="clear" w:color="auto" w:fill="F1F2F2"/>
            <w:vAlign w:val="center"/>
          </w:tcPr>
          <w:p w:rsidR="00E35672" w:rsidRDefault="003125F6" w:rsidP="005C54A4">
            <w:pPr>
              <w:pStyle w:val="TableParagraph"/>
              <w:spacing w:before="168"/>
              <w:ind w:left="293" w:right="293"/>
              <w:jc w:val="center"/>
              <w:rPr>
                <w:b/>
                <w:sz w:val="18"/>
              </w:rPr>
            </w:pPr>
            <w:r>
              <w:rPr>
                <w:b/>
                <w:color w:val="913592"/>
                <w:sz w:val="18"/>
                <w:lang w:bidi="fr-FR"/>
              </w:rPr>
              <w:t>Axes du suivi</w:t>
            </w:r>
          </w:p>
        </w:tc>
        <w:tc>
          <w:tcPr>
            <w:tcW w:w="4250" w:type="dxa"/>
            <w:tcBorders>
              <w:left w:val="single" w:sz="2" w:space="0" w:color="808080" w:themeColor="background1" w:themeShade="80"/>
            </w:tcBorders>
          </w:tcPr>
          <w:p w:rsidR="00E35672" w:rsidRPr="00DB7829" w:rsidRDefault="003125F6">
            <w:pPr>
              <w:pStyle w:val="TableParagraph"/>
              <w:spacing w:before="127" w:line="278" w:lineRule="auto"/>
              <w:ind w:left="113" w:right="484"/>
              <w:rPr>
                <w:sz w:val="18"/>
              </w:rPr>
            </w:pPr>
            <w:r w:rsidRPr="00DB7829">
              <w:rPr>
                <w:color w:val="57585B"/>
                <w:sz w:val="18"/>
                <w:lang w:bidi="fr-FR"/>
              </w:rPr>
              <w:t>L’année considérée (rétrospective) et l’année à venir (prospective)</w:t>
            </w:r>
          </w:p>
        </w:tc>
        <w:tc>
          <w:tcPr>
            <w:tcW w:w="7247" w:type="dxa"/>
            <w:tcBorders>
              <w:right w:val="nil"/>
            </w:tcBorders>
            <w:shd w:val="clear" w:color="auto" w:fill="auto"/>
          </w:tcPr>
          <w:p w:rsidR="00E35672" w:rsidRDefault="003125F6" w:rsidP="00A07272">
            <w:pPr>
              <w:pStyle w:val="TableParagraph"/>
              <w:spacing w:before="127" w:line="278" w:lineRule="auto"/>
              <w:ind w:left="107" w:right="28"/>
              <w:rPr>
                <w:sz w:val="18"/>
              </w:rPr>
            </w:pPr>
            <w:r>
              <w:rPr>
                <w:color w:val="57585B"/>
                <w:spacing w:val="-4"/>
                <w:sz w:val="18"/>
                <w:lang w:bidi="fr-FR"/>
              </w:rPr>
              <w:t>Veillez à ce que les principales questions directrices de votre revue soient à la fois rétrospectives et prospectives.</w:t>
            </w:r>
          </w:p>
          <w:p w:rsidR="00E35672" w:rsidRDefault="003125F6" w:rsidP="00A07272">
            <w:pPr>
              <w:pStyle w:val="TableParagraph"/>
              <w:spacing w:before="113" w:line="278" w:lineRule="auto"/>
              <w:ind w:left="107" w:right="28"/>
              <w:rPr>
                <w:sz w:val="18"/>
              </w:rPr>
            </w:pPr>
            <w:r>
              <w:rPr>
                <w:b/>
                <w:color w:val="57585B"/>
                <w:sz w:val="18"/>
                <w:lang w:bidi="fr-FR"/>
              </w:rPr>
              <w:t xml:space="preserve">En 2017, la revue sectorielle conjointe organisée par le Libéria </w:t>
            </w:r>
            <w:r>
              <w:rPr>
                <w:color w:val="57585B"/>
                <w:spacing w:val="-4"/>
                <w:sz w:val="18"/>
                <w:lang w:bidi="fr-FR"/>
              </w:rPr>
              <w:t>était à la fois rétrospective et prospective. La revue rétrospective, qui examinait les progrès réalisés pendant l’année considérée, s’est intéressée à :</w:t>
            </w:r>
          </w:p>
          <w:p w:rsidR="00E35672" w:rsidRDefault="003125F6" w:rsidP="00A07272">
            <w:pPr>
              <w:pStyle w:val="TableParagraph"/>
              <w:numPr>
                <w:ilvl w:val="0"/>
                <w:numId w:val="8"/>
              </w:numPr>
              <w:tabs>
                <w:tab w:val="left" w:pos="674"/>
                <w:tab w:val="left" w:pos="675"/>
              </w:tabs>
              <w:spacing w:before="113" w:line="278" w:lineRule="auto"/>
              <w:ind w:right="28"/>
              <w:rPr>
                <w:sz w:val="18"/>
              </w:rPr>
            </w:pPr>
            <w:r>
              <w:rPr>
                <w:color w:val="57585B"/>
                <w:spacing w:val="-4"/>
                <w:sz w:val="18"/>
                <w:lang w:bidi="fr-FR"/>
              </w:rPr>
              <w:t>La mise en œuvre des progrès au regard des activités prévues et des cibles définies dans le plan sectoriel d’éducation et son plan d’action</w:t>
            </w:r>
          </w:p>
          <w:p w:rsidR="00E35672" w:rsidRDefault="003125F6" w:rsidP="00A07272">
            <w:pPr>
              <w:pStyle w:val="TableParagraph"/>
              <w:numPr>
                <w:ilvl w:val="0"/>
                <w:numId w:val="8"/>
              </w:numPr>
              <w:tabs>
                <w:tab w:val="left" w:pos="674"/>
                <w:tab w:val="left" w:pos="675"/>
              </w:tabs>
              <w:spacing w:before="114"/>
              <w:ind w:right="28"/>
              <w:rPr>
                <w:sz w:val="18"/>
              </w:rPr>
            </w:pPr>
            <w:r>
              <w:rPr>
                <w:color w:val="57585B"/>
                <w:spacing w:val="-4"/>
                <w:sz w:val="18"/>
                <w:lang w:bidi="fr-FR"/>
              </w:rPr>
              <w:t>La mise en œuvre des recommandations énoncées dans la revue sectorielle conjointe de l’année précédente</w:t>
            </w:r>
          </w:p>
          <w:p w:rsidR="00E35672" w:rsidRDefault="003125F6" w:rsidP="00A07272">
            <w:pPr>
              <w:pStyle w:val="TableParagraph"/>
              <w:numPr>
                <w:ilvl w:val="0"/>
                <w:numId w:val="8"/>
              </w:numPr>
              <w:tabs>
                <w:tab w:val="left" w:pos="674"/>
                <w:tab w:val="left" w:pos="675"/>
              </w:tabs>
              <w:spacing w:before="146" w:line="278" w:lineRule="auto"/>
              <w:ind w:right="28"/>
              <w:rPr>
                <w:sz w:val="18"/>
              </w:rPr>
            </w:pPr>
            <w:r>
              <w:rPr>
                <w:color w:val="57585B"/>
                <w:spacing w:val="-5"/>
                <w:sz w:val="18"/>
                <w:lang w:bidi="fr-FR"/>
              </w:rPr>
              <w:t>Les progrès des principaux indicateurs sectoriels ainsi que les réformes clés des années précédentes afin de faciliter le débat sur la pertinence et les recommandations</w:t>
            </w:r>
          </w:p>
          <w:p w:rsidR="00E35672" w:rsidRDefault="003125F6" w:rsidP="00A07272">
            <w:pPr>
              <w:pStyle w:val="TableParagraph"/>
              <w:numPr>
                <w:ilvl w:val="0"/>
                <w:numId w:val="8"/>
              </w:numPr>
              <w:tabs>
                <w:tab w:val="left" w:pos="674"/>
                <w:tab w:val="left" w:pos="675"/>
              </w:tabs>
              <w:spacing w:before="113"/>
              <w:ind w:right="28"/>
              <w:rPr>
                <w:sz w:val="18"/>
              </w:rPr>
            </w:pPr>
            <w:r>
              <w:rPr>
                <w:color w:val="57585B"/>
                <w:spacing w:val="-5"/>
                <w:sz w:val="18"/>
                <w:lang w:bidi="fr-FR"/>
              </w:rPr>
              <w:t>Les comtés qui ont obtenu de très bons résultats dans l’apprentissage, l’accès, l’équité et la qualité</w:t>
            </w:r>
          </w:p>
        </w:tc>
      </w:tr>
    </w:tbl>
    <w:p w:rsidR="00E35672" w:rsidRDefault="00E35672">
      <w:pPr>
        <w:rPr>
          <w:sz w:val="18"/>
        </w:rPr>
        <w:sectPr w:rsidR="00E35672">
          <w:pgSz w:w="15840" w:h="12240" w:orient="landscape"/>
          <w:pgMar w:top="840" w:right="940" w:bottom="280" w:left="860" w:header="574" w:footer="0" w:gutter="0"/>
          <w:cols w:space="720"/>
        </w:sectPr>
      </w:pPr>
    </w:p>
    <w:p w:rsidR="00E35672" w:rsidRDefault="00626321">
      <w:pPr>
        <w:pStyle w:val="Textoindependiente"/>
        <w:spacing w:line="20" w:lineRule="exact"/>
        <w:ind w:left="105"/>
        <w:rPr>
          <w:sz w:val="2"/>
        </w:rPr>
      </w:pPr>
      <w:r>
        <w:rPr>
          <w:noProof/>
          <w:sz w:val="2"/>
          <w:lang w:bidi="fr-FR"/>
        </w:rPr>
        <w:lastRenderedPageBreak/>
        <mc:AlternateContent>
          <mc:Choice Requires="wpg">
            <w:drawing>
              <wp:inline distT="0" distB="0" distL="0" distR="0" wp14:anchorId="0AB30195">
                <wp:extent cx="8737600" cy="4445"/>
                <wp:effectExtent l="0" t="0" r="0" b="0"/>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0" cy="4445"/>
                          <a:chOff x="0" y="0"/>
                          <a:chExt cx="13760" cy="7"/>
                        </a:xfrm>
                      </wpg:grpSpPr>
                      <wps:wsp>
                        <wps:cNvPr id="6" name="Line 7"/>
                        <wps:cNvCnPr>
                          <a:cxnSpLocks/>
                        </wps:cNvCnPr>
                        <wps:spPr bwMode="auto">
                          <a:xfrm>
                            <a:off x="0" y="3"/>
                            <a:ext cx="2263"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s:wsp>
                        <wps:cNvPr id="7" name="Line 8"/>
                        <wps:cNvCnPr>
                          <a:cxnSpLocks/>
                        </wps:cNvCnPr>
                        <wps:spPr bwMode="auto">
                          <a:xfrm>
                            <a:off x="2263" y="3"/>
                            <a:ext cx="4381"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s:wsp>
                        <wps:cNvPr id="8" name="Line 9"/>
                        <wps:cNvCnPr>
                          <a:cxnSpLocks/>
                        </wps:cNvCnPr>
                        <wps:spPr bwMode="auto">
                          <a:xfrm>
                            <a:off x="6644" y="3"/>
                            <a:ext cx="7115"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3B8C95" id="Group 6" o:spid="_x0000_s1026" style="width:688pt;height:.35pt;mso-position-horizontal-relative:char;mso-position-vertical-relative:line" coordsize="1376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">
                <v:line id="Line 7" o:spid="_x0000_s1027" style="position:absolute;visibility:visible;mso-wrap-style:square" from="0,3" to="226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" strokecolor="#939598" strokeweight=".35pt">
                  <o:lock v:ext="edit" shapetype="f"/>
                </v:line>
                <v:line id="Line 8" o:spid="_x0000_s1028" style="position:absolute;visibility:visible;mso-wrap-style:square" from="2263,3" to="6644,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" strokecolor="#939598" strokeweight=".35pt">
                  <o:lock v:ext="edit" shapetype="f"/>
                </v:line>
                <v:line id="Line 9" o:spid="_x0000_s1029" style="position:absolute;visibility:visible;mso-wrap-style:square" from="6644,3" to="1375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" strokecolor="#939598" strokeweight=".35pt">
                  <o:lock v:ext="edit" shapetype="f"/>
                </v:line>
                <w10:anchorlock/>
              </v:group>
            </w:pict>
          </mc:Fallback>
        </mc:AlternateContent>
      </w:r>
    </w:p>
    <w:p w:rsidR="00E35672" w:rsidRDefault="00E35672">
      <w:pPr>
        <w:pStyle w:val="Textoindependiente"/>
        <w:rPr>
          <w:b/>
          <w:sz w:val="6"/>
        </w:rPr>
      </w:pPr>
    </w:p>
    <w:tbl>
      <w:tblPr>
        <w:tblStyle w:val="TableNormal1"/>
        <w:tblW w:w="0" w:type="auto"/>
        <w:tblInd w:w="11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4287"/>
        <w:gridCol w:w="7210"/>
      </w:tblGrid>
      <w:tr w:rsidR="00E35672" w:rsidTr="00437998">
        <w:trPr>
          <w:trHeight w:val="287"/>
        </w:trPr>
        <w:tc>
          <w:tcPr>
            <w:tcW w:w="2263" w:type="dxa"/>
            <w:tcBorders>
              <w:top w:val="nil"/>
              <w:left w:val="nil"/>
              <w:right w:val="nil"/>
            </w:tcBorders>
          </w:tcPr>
          <w:p w:rsidR="00E35672" w:rsidRPr="00437998" w:rsidRDefault="00E35672" w:rsidP="00437998">
            <w:pPr>
              <w:pStyle w:val="TableParagraph"/>
              <w:jc w:val="center"/>
              <w:rPr>
                <w:rFonts w:ascii="Times New Roman"/>
                <w:sz w:val="18"/>
                <w:szCs w:val="18"/>
              </w:rPr>
            </w:pPr>
          </w:p>
        </w:tc>
        <w:tc>
          <w:tcPr>
            <w:tcW w:w="4287" w:type="dxa"/>
            <w:tcBorders>
              <w:top w:val="nil"/>
              <w:left w:val="nil"/>
              <w:right w:val="nil"/>
            </w:tcBorders>
          </w:tcPr>
          <w:p w:rsidR="00E35672" w:rsidRPr="00437998" w:rsidRDefault="003125F6" w:rsidP="00437998">
            <w:pPr>
              <w:pStyle w:val="TableParagraph"/>
              <w:jc w:val="center"/>
              <w:rPr>
                <w:b/>
                <w:sz w:val="18"/>
                <w:szCs w:val="18"/>
              </w:rPr>
            </w:pPr>
            <w:r w:rsidRPr="00437998">
              <w:rPr>
                <w:b/>
                <w:color w:val="913592"/>
                <w:sz w:val="18"/>
                <w:szCs w:val="18"/>
                <w:lang w:bidi="fr-FR"/>
              </w:rPr>
              <w:t xml:space="preserve">Caractéristiques de la revue sectorielle </w:t>
            </w:r>
            <w:r w:rsidR="00030720">
              <w:rPr>
                <w:b/>
                <w:color w:val="913592"/>
                <w:sz w:val="18"/>
                <w:szCs w:val="18"/>
                <w:lang w:bidi="fr-FR"/>
              </w:rPr>
              <w:br/>
            </w:r>
            <w:r w:rsidRPr="00437998">
              <w:rPr>
                <w:b/>
                <w:color w:val="913592"/>
                <w:sz w:val="18"/>
                <w:szCs w:val="18"/>
                <w:lang w:bidi="fr-FR"/>
              </w:rPr>
              <w:t>conjointe annuelle</w:t>
            </w:r>
          </w:p>
        </w:tc>
        <w:tc>
          <w:tcPr>
            <w:tcW w:w="7210" w:type="dxa"/>
            <w:tcBorders>
              <w:top w:val="nil"/>
              <w:left w:val="nil"/>
              <w:right w:val="nil"/>
            </w:tcBorders>
          </w:tcPr>
          <w:p w:rsidR="00E35672" w:rsidRPr="00437998" w:rsidRDefault="003125F6" w:rsidP="00437998">
            <w:pPr>
              <w:pStyle w:val="TableParagraph"/>
              <w:jc w:val="center"/>
              <w:rPr>
                <w:b/>
                <w:sz w:val="18"/>
                <w:szCs w:val="18"/>
              </w:rPr>
            </w:pPr>
            <w:r w:rsidRPr="00437998">
              <w:rPr>
                <w:b/>
                <w:color w:val="913592"/>
                <w:sz w:val="18"/>
                <w:szCs w:val="18"/>
                <w:lang w:bidi="fr-FR"/>
              </w:rPr>
              <w:t>Considérations propres au sous-secteur de l’EPE</w:t>
            </w:r>
          </w:p>
        </w:tc>
      </w:tr>
      <w:tr w:rsidR="00E35672" w:rsidTr="006D5700">
        <w:trPr>
          <w:trHeight w:val="4664"/>
        </w:trPr>
        <w:tc>
          <w:tcPr>
            <w:tcW w:w="2263" w:type="dxa"/>
            <w:tcBorders>
              <w:left w:val="nil"/>
              <w:right w:val="nil"/>
            </w:tcBorders>
            <w:shd w:val="clear" w:color="auto" w:fill="F1F2F2"/>
          </w:tcPr>
          <w:p w:rsidR="00E35672" w:rsidRDefault="00E35672">
            <w:pPr>
              <w:pStyle w:val="TableParagraph"/>
              <w:rPr>
                <w:rFonts w:ascii="Times New Roman"/>
                <w:sz w:val="18"/>
              </w:rPr>
            </w:pPr>
          </w:p>
        </w:tc>
        <w:tc>
          <w:tcPr>
            <w:tcW w:w="4287" w:type="dxa"/>
            <w:tcBorders>
              <w:left w:val="nil"/>
            </w:tcBorders>
          </w:tcPr>
          <w:p w:rsidR="00E35672" w:rsidRDefault="00E35672">
            <w:pPr>
              <w:pStyle w:val="TableParagraph"/>
              <w:rPr>
                <w:rFonts w:ascii="Times New Roman"/>
                <w:sz w:val="18"/>
              </w:rPr>
            </w:pPr>
          </w:p>
        </w:tc>
        <w:tc>
          <w:tcPr>
            <w:tcW w:w="7210" w:type="dxa"/>
            <w:tcBorders>
              <w:right w:val="nil"/>
            </w:tcBorders>
            <w:shd w:val="clear" w:color="auto" w:fill="auto"/>
          </w:tcPr>
          <w:p w:rsidR="00E35672" w:rsidRDefault="003125F6" w:rsidP="00A07272">
            <w:pPr>
              <w:pStyle w:val="TableParagraph"/>
              <w:spacing w:before="127"/>
              <w:ind w:left="111" w:right="114"/>
              <w:rPr>
                <w:sz w:val="18"/>
              </w:rPr>
            </w:pPr>
            <w:r>
              <w:rPr>
                <w:color w:val="57585B"/>
                <w:sz w:val="18"/>
                <w:lang w:bidi="fr-FR"/>
              </w:rPr>
              <w:t>La revue prospective a examiné :</w:t>
            </w:r>
          </w:p>
          <w:p w:rsidR="00E35672" w:rsidRDefault="003125F6" w:rsidP="00A07272">
            <w:pPr>
              <w:pStyle w:val="TableParagraph"/>
              <w:numPr>
                <w:ilvl w:val="0"/>
                <w:numId w:val="7"/>
              </w:numPr>
              <w:tabs>
                <w:tab w:val="left" w:pos="678"/>
                <w:tab w:val="left" w:pos="679"/>
              </w:tabs>
              <w:spacing w:before="146"/>
              <w:ind w:right="114"/>
              <w:rPr>
                <w:sz w:val="18"/>
              </w:rPr>
            </w:pPr>
            <w:r>
              <w:rPr>
                <w:color w:val="57585B"/>
                <w:spacing w:val="-4"/>
                <w:sz w:val="18"/>
                <w:lang w:bidi="fr-FR"/>
              </w:rPr>
              <w:t>Les plans opérationnels pour l’année fiscale à venir 2018-2019</w:t>
            </w:r>
          </w:p>
          <w:p w:rsidR="00E35672" w:rsidRDefault="003125F6" w:rsidP="00A07272">
            <w:pPr>
              <w:pStyle w:val="TableParagraph"/>
              <w:numPr>
                <w:ilvl w:val="0"/>
                <w:numId w:val="7"/>
              </w:numPr>
              <w:tabs>
                <w:tab w:val="left" w:pos="678"/>
                <w:tab w:val="left" w:pos="679"/>
              </w:tabs>
              <w:spacing w:before="147"/>
              <w:ind w:right="114"/>
              <w:rPr>
                <w:sz w:val="18"/>
              </w:rPr>
            </w:pPr>
            <w:r>
              <w:rPr>
                <w:color w:val="57585B"/>
                <w:spacing w:val="-4"/>
                <w:sz w:val="18"/>
                <w:lang w:bidi="fr-FR"/>
              </w:rPr>
              <w:t>Les modalités de financement, la disponibilité, l’engagement du Gouvernement et des partenaires</w:t>
            </w:r>
          </w:p>
          <w:p w:rsidR="00E35672" w:rsidRDefault="003125F6" w:rsidP="00A07272">
            <w:pPr>
              <w:pStyle w:val="TableParagraph"/>
              <w:spacing w:before="33"/>
              <w:ind w:left="678" w:right="114"/>
              <w:rPr>
                <w:sz w:val="18"/>
              </w:rPr>
            </w:pPr>
            <w:proofErr w:type="gramStart"/>
            <w:r>
              <w:rPr>
                <w:color w:val="57585B"/>
                <w:sz w:val="18"/>
                <w:lang w:bidi="fr-FR"/>
              </w:rPr>
              <w:t>et</w:t>
            </w:r>
            <w:proofErr w:type="gramEnd"/>
            <w:r>
              <w:rPr>
                <w:color w:val="57585B"/>
                <w:sz w:val="18"/>
                <w:lang w:bidi="fr-FR"/>
              </w:rPr>
              <w:t xml:space="preserve"> les écarts de financement pour les principales composantes du plan</w:t>
            </w:r>
          </w:p>
          <w:p w:rsidR="00E35672" w:rsidRDefault="003125F6" w:rsidP="00A07272">
            <w:pPr>
              <w:pStyle w:val="TableParagraph"/>
              <w:numPr>
                <w:ilvl w:val="0"/>
                <w:numId w:val="7"/>
              </w:numPr>
              <w:tabs>
                <w:tab w:val="left" w:pos="678"/>
                <w:tab w:val="left" w:pos="679"/>
              </w:tabs>
              <w:spacing w:before="146"/>
              <w:ind w:right="114"/>
              <w:rPr>
                <w:sz w:val="18"/>
              </w:rPr>
            </w:pPr>
            <w:r>
              <w:rPr>
                <w:color w:val="57585B"/>
                <w:spacing w:val="-5"/>
                <w:sz w:val="18"/>
                <w:lang w:bidi="fr-FR"/>
              </w:rPr>
              <w:t>Les modalités, la coordination et l’harmonisation de la mise en œuvre</w:t>
            </w:r>
          </w:p>
          <w:p w:rsidR="00E35672" w:rsidRDefault="003125F6" w:rsidP="00A07272">
            <w:pPr>
              <w:pStyle w:val="TableParagraph"/>
              <w:numPr>
                <w:ilvl w:val="0"/>
                <w:numId w:val="7"/>
              </w:numPr>
              <w:tabs>
                <w:tab w:val="left" w:pos="678"/>
                <w:tab w:val="left" w:pos="679"/>
              </w:tabs>
              <w:spacing w:before="147"/>
              <w:ind w:right="114"/>
              <w:rPr>
                <w:sz w:val="18"/>
              </w:rPr>
            </w:pPr>
            <w:r>
              <w:rPr>
                <w:color w:val="57585B"/>
                <w:spacing w:val="-4"/>
                <w:sz w:val="18"/>
                <w:lang w:bidi="fr-FR"/>
              </w:rPr>
              <w:t>Les activités pour la période 2018-2019, y compris les activités qui n’étaient pas mises en œuvre</w:t>
            </w:r>
          </w:p>
          <w:p w:rsidR="00E35672" w:rsidRDefault="003125F6" w:rsidP="00A07272">
            <w:pPr>
              <w:pStyle w:val="TableParagraph"/>
              <w:spacing w:before="33"/>
              <w:ind w:left="678" w:right="114"/>
              <w:rPr>
                <w:sz w:val="18"/>
              </w:rPr>
            </w:pPr>
            <w:proofErr w:type="gramStart"/>
            <w:r>
              <w:rPr>
                <w:color w:val="57585B"/>
                <w:sz w:val="18"/>
                <w:lang w:bidi="fr-FR"/>
              </w:rPr>
              <w:t>l’année</w:t>
            </w:r>
            <w:proofErr w:type="gramEnd"/>
            <w:r>
              <w:rPr>
                <w:color w:val="57585B"/>
                <w:sz w:val="18"/>
                <w:lang w:bidi="fr-FR"/>
              </w:rPr>
              <w:t xml:space="preserve"> précédente et celles prévues pour l’année suivante</w:t>
            </w:r>
          </w:p>
          <w:p w:rsidR="00E35672" w:rsidRDefault="003125F6" w:rsidP="00A07272">
            <w:pPr>
              <w:pStyle w:val="TableParagraph"/>
              <w:spacing w:before="146"/>
              <w:ind w:left="111" w:right="114"/>
              <w:rPr>
                <w:sz w:val="18"/>
              </w:rPr>
            </w:pPr>
            <w:r>
              <w:rPr>
                <w:b/>
                <w:color w:val="57585B"/>
                <w:sz w:val="18"/>
                <w:lang w:bidi="fr-FR"/>
              </w:rPr>
              <w:t xml:space="preserve">Au Rwanda, en 2019, </w:t>
            </w:r>
            <w:r>
              <w:rPr>
                <w:color w:val="57585B"/>
                <w:sz w:val="18"/>
                <w:lang w:bidi="fr-FR"/>
              </w:rPr>
              <w:t>la revue sectorielle conjointe était seulement prospective et le suivi était axé sur :</w:t>
            </w:r>
          </w:p>
          <w:p w:rsidR="00E35672" w:rsidRDefault="003125F6" w:rsidP="00A07272">
            <w:pPr>
              <w:pStyle w:val="TableParagraph"/>
              <w:numPr>
                <w:ilvl w:val="0"/>
                <w:numId w:val="6"/>
              </w:numPr>
              <w:tabs>
                <w:tab w:val="left" w:pos="678"/>
                <w:tab w:val="left" w:pos="679"/>
              </w:tabs>
              <w:spacing w:before="146"/>
              <w:ind w:right="114"/>
              <w:rPr>
                <w:sz w:val="18"/>
              </w:rPr>
            </w:pPr>
            <w:r>
              <w:rPr>
                <w:color w:val="57585B"/>
                <w:spacing w:val="-12"/>
                <w:sz w:val="18"/>
                <w:lang w:bidi="fr-FR"/>
              </w:rPr>
              <w:t>Présenter les domaines prioritaires dans le processus de planification et de budgétisation et en discuter</w:t>
            </w:r>
          </w:p>
          <w:p w:rsidR="00E35672" w:rsidRDefault="003125F6" w:rsidP="00A07272">
            <w:pPr>
              <w:pStyle w:val="TableParagraph"/>
              <w:numPr>
                <w:ilvl w:val="0"/>
                <w:numId w:val="6"/>
              </w:numPr>
              <w:tabs>
                <w:tab w:val="left" w:pos="678"/>
                <w:tab w:val="left" w:pos="679"/>
              </w:tabs>
              <w:spacing w:before="147"/>
              <w:ind w:right="114"/>
              <w:rPr>
                <w:sz w:val="18"/>
              </w:rPr>
            </w:pPr>
            <w:r>
              <w:rPr>
                <w:color w:val="57585B"/>
                <w:spacing w:val="-12"/>
                <w:sz w:val="18"/>
                <w:lang w:bidi="fr-FR"/>
              </w:rPr>
              <w:t>Discuter des cibles sectorielles pour la période 2019-2020 et des actions stratégiques connexes et les valider</w:t>
            </w:r>
          </w:p>
          <w:p w:rsidR="00E35672" w:rsidRDefault="003125F6" w:rsidP="00A07272">
            <w:pPr>
              <w:pStyle w:val="TableParagraph"/>
              <w:numPr>
                <w:ilvl w:val="0"/>
                <w:numId w:val="6"/>
              </w:numPr>
              <w:tabs>
                <w:tab w:val="left" w:pos="678"/>
                <w:tab w:val="left" w:pos="679"/>
              </w:tabs>
              <w:spacing w:before="146"/>
              <w:ind w:right="114"/>
              <w:rPr>
                <w:sz w:val="18"/>
              </w:rPr>
            </w:pPr>
            <w:r>
              <w:rPr>
                <w:color w:val="57585B"/>
                <w:spacing w:val="-12"/>
                <w:sz w:val="18"/>
                <w:lang w:bidi="fr-FR"/>
              </w:rPr>
              <w:t>Évaluer les progrès en ce qui concerne la mise en œuvre des actions stratégiques de la période 2018-2019</w:t>
            </w:r>
          </w:p>
          <w:p w:rsidR="00E35672" w:rsidRDefault="003125F6" w:rsidP="00A07272">
            <w:pPr>
              <w:pStyle w:val="TableParagraph"/>
              <w:numPr>
                <w:ilvl w:val="0"/>
                <w:numId w:val="6"/>
              </w:numPr>
              <w:tabs>
                <w:tab w:val="left" w:pos="678"/>
                <w:tab w:val="left" w:pos="679"/>
              </w:tabs>
              <w:spacing w:before="147"/>
              <w:ind w:right="114"/>
              <w:rPr>
                <w:sz w:val="18"/>
              </w:rPr>
            </w:pPr>
            <w:r>
              <w:rPr>
                <w:color w:val="57585B"/>
                <w:spacing w:val="-12"/>
                <w:sz w:val="18"/>
                <w:lang w:bidi="fr-FR"/>
              </w:rPr>
              <w:t>Décider des études stratégiques à mener au cours de l’année fiscale 2019-2020.</w:t>
            </w:r>
          </w:p>
        </w:tc>
      </w:tr>
      <w:tr w:rsidR="00E35672" w:rsidTr="00F73B19">
        <w:trPr>
          <w:trHeight w:val="5196"/>
        </w:trPr>
        <w:tc>
          <w:tcPr>
            <w:tcW w:w="2263" w:type="dxa"/>
            <w:tcBorders>
              <w:left w:val="nil"/>
              <w:right w:val="nil"/>
            </w:tcBorders>
            <w:shd w:val="clear" w:color="auto" w:fill="F1F2F2"/>
            <w:vAlign w:val="center"/>
          </w:tcPr>
          <w:p w:rsidR="00E35672" w:rsidRDefault="003125F6" w:rsidP="00F73B19">
            <w:pPr>
              <w:pStyle w:val="TableParagraph"/>
              <w:ind w:right="293"/>
              <w:jc w:val="center"/>
              <w:rPr>
                <w:b/>
                <w:sz w:val="18"/>
              </w:rPr>
            </w:pPr>
            <w:r>
              <w:rPr>
                <w:b/>
                <w:color w:val="913592"/>
                <w:sz w:val="18"/>
                <w:lang w:bidi="fr-FR"/>
              </w:rPr>
              <w:t>Portée</w:t>
            </w:r>
          </w:p>
        </w:tc>
        <w:tc>
          <w:tcPr>
            <w:tcW w:w="4287" w:type="dxa"/>
            <w:tcBorders>
              <w:left w:val="nil"/>
            </w:tcBorders>
          </w:tcPr>
          <w:p w:rsidR="00E35672" w:rsidRDefault="003125F6">
            <w:pPr>
              <w:pStyle w:val="TableParagraph"/>
              <w:spacing w:before="127" w:line="278" w:lineRule="auto"/>
              <w:ind w:left="116" w:right="152"/>
              <w:rPr>
                <w:sz w:val="18"/>
              </w:rPr>
            </w:pPr>
            <w:r>
              <w:rPr>
                <w:color w:val="57585B"/>
                <w:spacing w:val="-4"/>
                <w:sz w:val="18"/>
                <w:lang w:bidi="fr-FR"/>
              </w:rPr>
              <w:t>Mise en œuvre du plan opérationnel annuel ou pluriannuel ; discussion sur les succès et les obstacles rencontrés ; flux financiers (internes et externes) et gestion ; actions correctives éventuelles et suivi des recommandations de la précédente revue sectorielle conjointe. Examen de la qualité des données probantes, des besoins de renforcement des capacités et des possibilités de suivi innovant.</w:t>
            </w:r>
          </w:p>
        </w:tc>
        <w:tc>
          <w:tcPr>
            <w:tcW w:w="7210" w:type="dxa"/>
            <w:tcBorders>
              <w:right w:val="nil"/>
            </w:tcBorders>
          </w:tcPr>
          <w:p w:rsidR="00E35672" w:rsidRDefault="003125F6" w:rsidP="00A07272">
            <w:pPr>
              <w:pStyle w:val="TableParagraph"/>
              <w:spacing w:before="127"/>
              <w:ind w:left="111" w:right="114"/>
              <w:rPr>
                <w:sz w:val="18"/>
              </w:rPr>
            </w:pPr>
            <w:r>
              <w:rPr>
                <w:color w:val="57585B"/>
                <w:sz w:val="18"/>
                <w:lang w:bidi="fr-FR"/>
              </w:rPr>
              <w:t>Veillez à ce que la portée de la revue couvre :</w:t>
            </w:r>
          </w:p>
          <w:p w:rsidR="00E35672" w:rsidRDefault="003125F6" w:rsidP="00A07272">
            <w:pPr>
              <w:pStyle w:val="TableParagraph"/>
              <w:numPr>
                <w:ilvl w:val="0"/>
                <w:numId w:val="5"/>
              </w:numPr>
              <w:tabs>
                <w:tab w:val="left" w:pos="678"/>
                <w:tab w:val="left" w:pos="679"/>
              </w:tabs>
              <w:spacing w:before="146" w:line="278" w:lineRule="auto"/>
              <w:ind w:right="114"/>
              <w:rPr>
                <w:sz w:val="18"/>
              </w:rPr>
            </w:pPr>
            <w:r>
              <w:rPr>
                <w:color w:val="57585B"/>
                <w:spacing w:val="-4"/>
                <w:sz w:val="18"/>
                <w:lang w:bidi="fr-FR"/>
              </w:rPr>
              <w:t>Succès et obstacles du sous-secteur de l’EPE ; flux financiers (internes et externes) et gestion ; actions correctives éventuelles et suivi des recommandations de la précédente revue sectorielle conjointe.</w:t>
            </w:r>
          </w:p>
          <w:p w:rsidR="00E35672" w:rsidRDefault="003125F6" w:rsidP="00A07272">
            <w:pPr>
              <w:pStyle w:val="TableParagraph"/>
              <w:numPr>
                <w:ilvl w:val="0"/>
                <w:numId w:val="5"/>
              </w:numPr>
              <w:tabs>
                <w:tab w:val="left" w:pos="678"/>
                <w:tab w:val="left" w:pos="679"/>
              </w:tabs>
              <w:spacing w:before="113" w:line="278" w:lineRule="auto"/>
              <w:ind w:right="114"/>
              <w:rPr>
                <w:sz w:val="18"/>
              </w:rPr>
            </w:pPr>
            <w:r>
              <w:rPr>
                <w:color w:val="57585B"/>
                <w:spacing w:val="-5"/>
                <w:sz w:val="18"/>
                <w:lang w:bidi="fr-FR"/>
              </w:rPr>
              <w:t>Examen de la qualité des données probantes, des besoins de renforcement des capacités et des possibilités de suivi innovant dans le sous-secteur de l’EPE.</w:t>
            </w:r>
          </w:p>
          <w:p w:rsidR="00E35672" w:rsidRDefault="003125F6" w:rsidP="00A07272">
            <w:pPr>
              <w:pStyle w:val="TableParagraph"/>
              <w:spacing w:before="114" w:line="278" w:lineRule="auto"/>
              <w:ind w:left="111" w:right="114"/>
              <w:rPr>
                <w:sz w:val="18"/>
              </w:rPr>
            </w:pPr>
            <w:r>
              <w:rPr>
                <w:b/>
                <w:color w:val="57585B"/>
                <w:spacing w:val="-5"/>
                <w:sz w:val="18"/>
                <w:lang w:bidi="fr-FR"/>
              </w:rPr>
              <w:t xml:space="preserve">Le Rwanda en 2015/2016 : </w:t>
            </w:r>
            <w:r>
              <w:rPr>
                <w:color w:val="57585B"/>
                <w:spacing w:val="-3"/>
                <w:sz w:val="18"/>
                <w:lang w:bidi="fr-FR"/>
              </w:rPr>
              <w:t>la portée de la revue rétrospective comprenait l’EPE et le rapport était fondé sur des données probantes. Voir ci-dessous :</w:t>
            </w:r>
          </w:p>
          <w:p w:rsidR="00E35672" w:rsidRDefault="003125F6" w:rsidP="00A07272">
            <w:pPr>
              <w:pStyle w:val="TableParagraph"/>
              <w:numPr>
                <w:ilvl w:val="0"/>
                <w:numId w:val="4"/>
              </w:numPr>
              <w:tabs>
                <w:tab w:val="left" w:pos="471"/>
                <w:tab w:val="left" w:pos="472"/>
              </w:tabs>
              <w:spacing w:before="113" w:line="278" w:lineRule="auto"/>
              <w:ind w:right="114"/>
              <w:rPr>
                <w:sz w:val="18"/>
              </w:rPr>
            </w:pPr>
            <w:r>
              <w:rPr>
                <w:color w:val="57585B"/>
                <w:spacing w:val="-3"/>
                <w:sz w:val="18"/>
                <w:lang w:bidi="fr-FR"/>
              </w:rPr>
              <w:t xml:space="preserve">Le nombre d’établissements </w:t>
            </w:r>
            <w:proofErr w:type="spellStart"/>
            <w:r>
              <w:rPr>
                <w:color w:val="57585B"/>
                <w:spacing w:val="-3"/>
                <w:sz w:val="18"/>
                <w:lang w:bidi="fr-FR"/>
              </w:rPr>
              <w:t>préprimaires</w:t>
            </w:r>
            <w:proofErr w:type="spellEnd"/>
            <w:r>
              <w:rPr>
                <w:color w:val="57585B"/>
                <w:spacing w:val="-3"/>
                <w:sz w:val="18"/>
                <w:lang w:bidi="fr-FR"/>
              </w:rPr>
              <w:t xml:space="preserve"> a augmenté de 8,3 % en passant de 2</w:t>
            </w:r>
            <w:r w:rsidR="00D37804">
              <w:rPr>
                <w:color w:val="57585B"/>
                <w:spacing w:val="-3"/>
                <w:sz w:val="18"/>
                <w:lang w:bidi="fr-FR"/>
              </w:rPr>
              <w:t> </w:t>
            </w:r>
            <w:r>
              <w:rPr>
                <w:color w:val="57585B"/>
                <w:spacing w:val="-3"/>
                <w:sz w:val="18"/>
                <w:lang w:bidi="fr-FR"/>
              </w:rPr>
              <w:t>618 en 2015 à 2</w:t>
            </w:r>
            <w:r w:rsidR="00D37804">
              <w:rPr>
                <w:color w:val="57585B"/>
                <w:spacing w:val="-3"/>
                <w:sz w:val="18"/>
                <w:lang w:bidi="fr-FR"/>
              </w:rPr>
              <w:t> </w:t>
            </w:r>
            <w:r>
              <w:rPr>
                <w:color w:val="57585B"/>
                <w:spacing w:val="-3"/>
                <w:sz w:val="18"/>
                <w:lang w:bidi="fr-FR"/>
              </w:rPr>
              <w:t>834 en 2016, soit 216 établissements supplémentaires.</w:t>
            </w:r>
          </w:p>
          <w:p w:rsidR="00E35672" w:rsidRDefault="003125F6" w:rsidP="00A07272">
            <w:pPr>
              <w:pStyle w:val="TableParagraph"/>
              <w:numPr>
                <w:ilvl w:val="0"/>
                <w:numId w:val="4"/>
              </w:numPr>
              <w:tabs>
                <w:tab w:val="left" w:pos="471"/>
                <w:tab w:val="left" w:pos="472"/>
              </w:tabs>
              <w:spacing w:before="113" w:line="278" w:lineRule="auto"/>
              <w:ind w:right="114"/>
              <w:rPr>
                <w:sz w:val="18"/>
              </w:rPr>
            </w:pPr>
            <w:r>
              <w:rPr>
                <w:color w:val="57585B"/>
                <w:spacing w:val="-5"/>
                <w:sz w:val="18"/>
                <w:lang w:bidi="fr-FR"/>
              </w:rPr>
              <w:t>Le nombre d’élèves a également augmenté de 3,5 % en passant de 183</w:t>
            </w:r>
            <w:r w:rsidR="00D37804">
              <w:rPr>
                <w:color w:val="57585B"/>
                <w:spacing w:val="-5"/>
                <w:sz w:val="18"/>
                <w:lang w:bidi="fr-FR"/>
              </w:rPr>
              <w:t> </w:t>
            </w:r>
            <w:r>
              <w:rPr>
                <w:color w:val="57585B"/>
                <w:spacing w:val="-5"/>
                <w:sz w:val="18"/>
                <w:lang w:bidi="fr-FR"/>
              </w:rPr>
              <w:t>645 en 2015 à 190</w:t>
            </w:r>
            <w:r w:rsidR="00D37804">
              <w:rPr>
                <w:color w:val="57585B"/>
                <w:spacing w:val="-5"/>
                <w:sz w:val="18"/>
                <w:lang w:bidi="fr-FR"/>
              </w:rPr>
              <w:t> </w:t>
            </w:r>
            <w:r>
              <w:rPr>
                <w:color w:val="57585B"/>
                <w:spacing w:val="-5"/>
                <w:sz w:val="18"/>
                <w:lang w:bidi="fr-FR"/>
              </w:rPr>
              <w:t>100 en 2016, soit 6</w:t>
            </w:r>
            <w:r w:rsidR="00D37804">
              <w:rPr>
                <w:color w:val="57585B"/>
                <w:spacing w:val="-5"/>
                <w:sz w:val="18"/>
                <w:lang w:bidi="fr-FR"/>
              </w:rPr>
              <w:t> </w:t>
            </w:r>
            <w:r>
              <w:rPr>
                <w:color w:val="57585B"/>
                <w:spacing w:val="-5"/>
                <w:sz w:val="18"/>
                <w:lang w:bidi="fr-FR"/>
              </w:rPr>
              <w:t>455 élèves supplémentaires.</w:t>
            </w:r>
          </w:p>
          <w:p w:rsidR="00E35672" w:rsidRDefault="003125F6" w:rsidP="00A07272">
            <w:pPr>
              <w:pStyle w:val="TableParagraph"/>
              <w:numPr>
                <w:ilvl w:val="0"/>
                <w:numId w:val="4"/>
              </w:numPr>
              <w:tabs>
                <w:tab w:val="left" w:pos="471"/>
                <w:tab w:val="left" w:pos="472"/>
              </w:tabs>
              <w:spacing w:before="113" w:line="278" w:lineRule="auto"/>
              <w:ind w:right="114"/>
              <w:rPr>
                <w:sz w:val="18"/>
              </w:rPr>
            </w:pPr>
            <w:r>
              <w:rPr>
                <w:color w:val="57585B"/>
                <w:spacing w:val="-3"/>
                <w:sz w:val="18"/>
                <w:lang w:bidi="fr-FR"/>
              </w:rPr>
              <w:t xml:space="preserve">Le taux brut de scolarisation (TBS) dans l’enseignement </w:t>
            </w:r>
            <w:proofErr w:type="spellStart"/>
            <w:r>
              <w:rPr>
                <w:color w:val="57585B"/>
                <w:spacing w:val="-3"/>
                <w:sz w:val="18"/>
                <w:lang w:bidi="fr-FR"/>
              </w:rPr>
              <w:t>préprimaire</w:t>
            </w:r>
            <w:proofErr w:type="spellEnd"/>
            <w:r>
              <w:rPr>
                <w:color w:val="57585B"/>
                <w:spacing w:val="-3"/>
                <w:sz w:val="18"/>
                <w:lang w:bidi="fr-FR"/>
              </w:rPr>
              <w:t xml:space="preserve"> a augmenté et est passé de 20,2 % en 2015 à 23,7 % en 2016. Le taux net de scolarisation a également augmenté et est passé de 14,2 % en 2015 à 17,2 % en 2016. Bien que cela représente une augmentation importante, la cible du programme d</w:t>
            </w:r>
            <w:r w:rsidR="00D37804">
              <w:rPr>
                <w:color w:val="57585B"/>
                <w:spacing w:val="-3"/>
                <w:sz w:val="18"/>
                <w:lang w:bidi="fr-FR"/>
              </w:rPr>
              <w:t>’</w:t>
            </w:r>
            <w:r>
              <w:rPr>
                <w:color w:val="57585B"/>
                <w:spacing w:val="-3"/>
                <w:sz w:val="18"/>
                <w:lang w:bidi="fr-FR"/>
              </w:rPr>
              <w:t>appui au secteur de l</w:t>
            </w:r>
            <w:r w:rsidR="00D37804">
              <w:rPr>
                <w:color w:val="57585B"/>
                <w:spacing w:val="-3"/>
                <w:sz w:val="18"/>
                <w:lang w:bidi="fr-FR"/>
              </w:rPr>
              <w:t>’</w:t>
            </w:r>
            <w:r>
              <w:rPr>
                <w:color w:val="57585B"/>
                <w:spacing w:val="-3"/>
                <w:sz w:val="18"/>
                <w:lang w:bidi="fr-FR"/>
              </w:rPr>
              <w:t>enseignement pour la période de 2016-2017, fixée à 29,9 % et 28,0 % respectivement, n’a pas été atteinte en 2016.</w:t>
            </w:r>
          </w:p>
        </w:tc>
      </w:tr>
    </w:tbl>
    <w:p w:rsidR="00E35672" w:rsidRDefault="00E35672">
      <w:pPr>
        <w:spacing w:line="278" w:lineRule="auto"/>
        <w:rPr>
          <w:sz w:val="18"/>
        </w:rPr>
        <w:sectPr w:rsidR="00E35672">
          <w:pgSz w:w="15840" w:h="12240" w:orient="landscape"/>
          <w:pgMar w:top="840" w:right="940" w:bottom="280" w:left="860" w:header="574" w:footer="0" w:gutter="0"/>
          <w:cols w:space="720"/>
        </w:sectPr>
      </w:pPr>
    </w:p>
    <w:p w:rsidR="00E35672" w:rsidRDefault="00E35672">
      <w:pPr>
        <w:pStyle w:val="Textoindependiente"/>
        <w:spacing w:before="5"/>
        <w:rPr>
          <w:rFonts w:ascii="Times New Roman"/>
          <w:sz w:val="25"/>
        </w:rPr>
      </w:pPr>
    </w:p>
    <w:p w:rsidR="00E35672" w:rsidRDefault="00626321">
      <w:pPr>
        <w:pStyle w:val="Textoindependiente"/>
        <w:spacing w:line="20" w:lineRule="exact"/>
        <w:ind w:left="167"/>
        <w:rPr>
          <w:rFonts w:ascii="Times New Roman"/>
          <w:sz w:val="2"/>
        </w:rPr>
      </w:pPr>
      <w:r>
        <w:rPr>
          <w:noProof/>
          <w:sz w:val="2"/>
          <w:lang w:bidi="fr-FR"/>
        </w:rPr>
        <mc:AlternateContent>
          <mc:Choice Requires="wpg">
            <w:drawing>
              <wp:inline distT="0" distB="0" distL="0" distR="0" wp14:anchorId="76198C86">
                <wp:extent cx="8737600" cy="4445"/>
                <wp:effectExtent l="0" t="0" r="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0" cy="4445"/>
                          <a:chOff x="0" y="0"/>
                          <a:chExt cx="13760" cy="7"/>
                        </a:xfrm>
                      </wpg:grpSpPr>
                      <wps:wsp>
                        <wps:cNvPr id="2" name="Line 3"/>
                        <wps:cNvCnPr>
                          <a:cxnSpLocks/>
                        </wps:cNvCnPr>
                        <wps:spPr bwMode="auto">
                          <a:xfrm>
                            <a:off x="0" y="3"/>
                            <a:ext cx="2263"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s:wsp>
                        <wps:cNvPr id="3" name="Line 4"/>
                        <wps:cNvCnPr>
                          <a:cxnSpLocks/>
                        </wps:cNvCnPr>
                        <wps:spPr bwMode="auto">
                          <a:xfrm>
                            <a:off x="2263" y="3"/>
                            <a:ext cx="4381"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s:wsp>
                        <wps:cNvPr id="4" name="Line 5"/>
                        <wps:cNvCnPr>
                          <a:cxnSpLocks/>
                        </wps:cNvCnPr>
                        <wps:spPr bwMode="auto">
                          <a:xfrm>
                            <a:off x="6644" y="3"/>
                            <a:ext cx="7115"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0910D9" id="Group 2" o:spid="_x0000_s1026" style="width:688pt;height:.35pt;mso-position-horizontal-relative:char;mso-position-vertical-relative:line" coordsize="1376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">
                <v:line id="Line 3" o:spid="_x0000_s1027" style="position:absolute;visibility:visible;mso-wrap-style:square" from="0,3" to="226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" strokecolor="#939598" strokeweight=".35pt">
                  <o:lock v:ext="edit" shapetype="f"/>
                </v:line>
                <v:line id="Line 4" o:spid="_x0000_s1028" style="position:absolute;visibility:visible;mso-wrap-style:square" from="2263,3" to="6644,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" strokecolor="#939598" strokeweight=".35pt">
                  <o:lock v:ext="edit" shapetype="f"/>
                </v:line>
                <v:line id="Line 5" o:spid="_x0000_s1029" style="position:absolute;visibility:visible;mso-wrap-style:square" from="6644,3" to="1375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" strokecolor="#939598" strokeweight=".35pt">
                  <o:lock v:ext="edit" shapetype="f"/>
                </v:line>
                <w10:anchorlock/>
              </v:group>
            </w:pict>
          </mc:Fallback>
        </mc:AlternateContent>
      </w:r>
    </w:p>
    <w:p w:rsidR="00E35672" w:rsidRDefault="00E35672">
      <w:pPr>
        <w:pStyle w:val="Textoindependiente"/>
        <w:spacing w:before="2"/>
        <w:rPr>
          <w:rFonts w:ascii="Times New Roman"/>
          <w:sz w:val="5"/>
        </w:rPr>
      </w:pPr>
    </w:p>
    <w:tbl>
      <w:tblPr>
        <w:tblStyle w:val="TableNormal1"/>
        <w:tblW w:w="0" w:type="auto"/>
        <w:tblInd w:w="17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4382"/>
        <w:gridCol w:w="7115"/>
      </w:tblGrid>
      <w:tr w:rsidR="00E35672">
        <w:trPr>
          <w:trHeight w:val="287"/>
        </w:trPr>
        <w:tc>
          <w:tcPr>
            <w:tcW w:w="2263" w:type="dxa"/>
            <w:tcBorders>
              <w:top w:val="nil"/>
              <w:left w:val="nil"/>
              <w:right w:val="nil"/>
            </w:tcBorders>
          </w:tcPr>
          <w:p w:rsidR="00E35672" w:rsidRDefault="00E35672">
            <w:pPr>
              <w:pStyle w:val="TableParagraph"/>
              <w:rPr>
                <w:rFonts w:ascii="Times New Roman"/>
                <w:sz w:val="18"/>
              </w:rPr>
            </w:pPr>
          </w:p>
        </w:tc>
        <w:tc>
          <w:tcPr>
            <w:tcW w:w="4382" w:type="dxa"/>
            <w:tcBorders>
              <w:top w:val="nil"/>
              <w:left w:val="nil"/>
              <w:right w:val="nil"/>
            </w:tcBorders>
          </w:tcPr>
          <w:p w:rsidR="00E35672" w:rsidRPr="00C345D0" w:rsidRDefault="003125F6" w:rsidP="00C345D0">
            <w:pPr>
              <w:pStyle w:val="TableParagraph"/>
              <w:spacing w:line="223" w:lineRule="exact"/>
              <w:jc w:val="center"/>
              <w:rPr>
                <w:b/>
                <w:sz w:val="18"/>
                <w:szCs w:val="18"/>
              </w:rPr>
            </w:pPr>
            <w:r w:rsidRPr="00C345D0">
              <w:rPr>
                <w:b/>
                <w:color w:val="913592"/>
                <w:sz w:val="18"/>
                <w:szCs w:val="18"/>
                <w:lang w:bidi="fr-FR"/>
              </w:rPr>
              <w:t xml:space="preserve">Caractéristiques de la revue sectorielle </w:t>
            </w:r>
            <w:r w:rsidR="00C345D0">
              <w:rPr>
                <w:b/>
                <w:color w:val="913592"/>
                <w:sz w:val="18"/>
                <w:szCs w:val="18"/>
                <w:lang w:bidi="fr-FR"/>
              </w:rPr>
              <w:br/>
            </w:r>
            <w:r w:rsidRPr="00C345D0">
              <w:rPr>
                <w:b/>
                <w:color w:val="913592"/>
                <w:sz w:val="18"/>
                <w:szCs w:val="18"/>
                <w:lang w:bidi="fr-FR"/>
              </w:rPr>
              <w:t>conjointe annuelle</w:t>
            </w:r>
          </w:p>
        </w:tc>
        <w:tc>
          <w:tcPr>
            <w:tcW w:w="7115" w:type="dxa"/>
            <w:tcBorders>
              <w:top w:val="nil"/>
              <w:left w:val="nil"/>
              <w:right w:val="nil"/>
            </w:tcBorders>
          </w:tcPr>
          <w:p w:rsidR="00E35672" w:rsidRPr="00C345D0" w:rsidRDefault="003125F6" w:rsidP="00C345D0">
            <w:pPr>
              <w:pStyle w:val="TableParagraph"/>
              <w:spacing w:line="223" w:lineRule="exact"/>
              <w:jc w:val="center"/>
              <w:rPr>
                <w:b/>
                <w:sz w:val="18"/>
                <w:szCs w:val="18"/>
              </w:rPr>
            </w:pPr>
            <w:r w:rsidRPr="00C345D0">
              <w:rPr>
                <w:b/>
                <w:color w:val="913592"/>
                <w:sz w:val="18"/>
                <w:szCs w:val="18"/>
                <w:lang w:bidi="fr-FR"/>
              </w:rPr>
              <w:t>Considérations propres au sous-secteur de l’EPE</w:t>
            </w:r>
          </w:p>
        </w:tc>
      </w:tr>
      <w:tr w:rsidR="00E35672" w:rsidTr="006D5700">
        <w:trPr>
          <w:trHeight w:val="4212"/>
        </w:trPr>
        <w:tc>
          <w:tcPr>
            <w:tcW w:w="2263" w:type="dxa"/>
            <w:tcBorders>
              <w:left w:val="nil"/>
              <w:right w:val="nil"/>
            </w:tcBorders>
            <w:shd w:val="clear" w:color="auto" w:fill="F1F2F2"/>
          </w:tcPr>
          <w:p w:rsidR="00E35672" w:rsidRDefault="00E35672">
            <w:pPr>
              <w:pStyle w:val="TableParagraph"/>
              <w:rPr>
                <w:rFonts w:ascii="Times New Roman"/>
                <w:sz w:val="18"/>
              </w:rPr>
            </w:pPr>
          </w:p>
        </w:tc>
        <w:tc>
          <w:tcPr>
            <w:tcW w:w="4382" w:type="dxa"/>
            <w:tcBorders>
              <w:left w:val="nil"/>
            </w:tcBorders>
          </w:tcPr>
          <w:p w:rsidR="00E35672" w:rsidRDefault="00E35672">
            <w:pPr>
              <w:pStyle w:val="TableParagraph"/>
              <w:rPr>
                <w:rFonts w:ascii="Times New Roman"/>
                <w:sz w:val="18"/>
              </w:rPr>
            </w:pPr>
          </w:p>
        </w:tc>
        <w:tc>
          <w:tcPr>
            <w:tcW w:w="7115" w:type="dxa"/>
            <w:tcBorders>
              <w:right w:val="nil"/>
            </w:tcBorders>
            <w:shd w:val="clear" w:color="auto" w:fill="auto"/>
          </w:tcPr>
          <w:p w:rsidR="00E35672" w:rsidRDefault="003125F6" w:rsidP="00A07272">
            <w:pPr>
              <w:pStyle w:val="TableParagraph"/>
              <w:spacing w:before="127" w:line="278" w:lineRule="auto"/>
              <w:ind w:left="111" w:right="56"/>
              <w:rPr>
                <w:sz w:val="18"/>
              </w:rPr>
            </w:pPr>
            <w:r>
              <w:rPr>
                <w:color w:val="57585B"/>
                <w:spacing w:val="-5"/>
                <w:sz w:val="18"/>
                <w:lang w:bidi="fr-FR"/>
              </w:rPr>
              <w:t>En outre, le taux brut de scolarisation moyen dans 22 des districts les moins performants (c’est-à-dire les districts dont le TBS était inférieur à 17 % en 2014) est passé de 14,1 % en 2015 à 16,3 % en 2016. Cette augmentation est conforme à la recommandation du Partenariat mondiale pour l’éducation sur « l’indicateur d’équité ». Le Partenariat mondial pour l’éducation a indiqué que le TBS moyen dans les 22 districts les moins performants devrait passer de 10 % en 2014 à 17 % d’ici à 2017.</w:t>
            </w:r>
          </w:p>
          <w:p w:rsidR="00E35672" w:rsidRDefault="003125F6" w:rsidP="00A07272">
            <w:pPr>
              <w:pStyle w:val="TableParagraph"/>
              <w:numPr>
                <w:ilvl w:val="0"/>
                <w:numId w:val="3"/>
              </w:numPr>
              <w:tabs>
                <w:tab w:val="left" w:pos="471"/>
                <w:tab w:val="left" w:pos="472"/>
              </w:tabs>
              <w:spacing w:before="113" w:line="278" w:lineRule="auto"/>
              <w:ind w:right="56"/>
              <w:rPr>
                <w:sz w:val="18"/>
              </w:rPr>
            </w:pPr>
            <w:r>
              <w:rPr>
                <w:color w:val="57585B"/>
                <w:spacing w:val="-4"/>
                <w:sz w:val="18"/>
                <w:lang w:bidi="fr-FR"/>
              </w:rPr>
              <w:t>En ce qui concerne la portée prospective et la mise en œuvre du plan pluriannuel, la priorité pour la période 2017-2018 était double :</w:t>
            </w:r>
          </w:p>
          <w:p w:rsidR="00E35672" w:rsidRDefault="003125F6" w:rsidP="00A07272">
            <w:pPr>
              <w:pStyle w:val="TableParagraph"/>
              <w:numPr>
                <w:ilvl w:val="0"/>
                <w:numId w:val="2"/>
              </w:numPr>
              <w:tabs>
                <w:tab w:val="left" w:pos="471"/>
                <w:tab w:val="left" w:pos="472"/>
              </w:tabs>
              <w:spacing w:before="113" w:line="278" w:lineRule="auto"/>
              <w:ind w:right="56"/>
              <w:rPr>
                <w:sz w:val="18"/>
              </w:rPr>
            </w:pPr>
            <w:r>
              <w:rPr>
                <w:color w:val="57585B"/>
                <w:spacing w:val="-5"/>
                <w:sz w:val="18"/>
                <w:lang w:bidi="fr-FR"/>
              </w:rPr>
              <w:t xml:space="preserve">Continuer à augmenter l’accès et la participation au </w:t>
            </w:r>
            <w:proofErr w:type="spellStart"/>
            <w:r>
              <w:rPr>
                <w:color w:val="57585B"/>
                <w:spacing w:val="-5"/>
                <w:sz w:val="18"/>
                <w:lang w:bidi="fr-FR"/>
              </w:rPr>
              <w:t>préprimaire</w:t>
            </w:r>
            <w:proofErr w:type="spellEnd"/>
            <w:r>
              <w:rPr>
                <w:color w:val="57585B"/>
                <w:spacing w:val="-5"/>
                <w:sz w:val="18"/>
                <w:lang w:bidi="fr-FR"/>
              </w:rPr>
              <w:t xml:space="preserve"> en renforçant le développement des infrastructures, en payant les salaires des enseignants et en accordant une subvention par élève, particulièrement pour les établissements </w:t>
            </w:r>
            <w:proofErr w:type="spellStart"/>
            <w:r>
              <w:rPr>
                <w:color w:val="57585B"/>
                <w:spacing w:val="-5"/>
                <w:sz w:val="18"/>
                <w:lang w:bidi="fr-FR"/>
              </w:rPr>
              <w:t>préprimaires</w:t>
            </w:r>
            <w:proofErr w:type="spellEnd"/>
            <w:r>
              <w:rPr>
                <w:color w:val="57585B"/>
                <w:spacing w:val="-5"/>
                <w:sz w:val="18"/>
                <w:lang w:bidi="fr-FR"/>
              </w:rPr>
              <w:t xml:space="preserve"> en zones rurales.</w:t>
            </w:r>
          </w:p>
          <w:p w:rsidR="00E35672" w:rsidRDefault="003125F6" w:rsidP="00A07272">
            <w:pPr>
              <w:pStyle w:val="TableParagraph"/>
              <w:numPr>
                <w:ilvl w:val="0"/>
                <w:numId w:val="2"/>
              </w:numPr>
              <w:tabs>
                <w:tab w:val="left" w:pos="471"/>
                <w:tab w:val="left" w:pos="472"/>
              </w:tabs>
              <w:spacing w:before="113" w:line="278" w:lineRule="auto"/>
              <w:ind w:right="56"/>
              <w:rPr>
                <w:sz w:val="18"/>
              </w:rPr>
            </w:pPr>
            <w:r>
              <w:rPr>
                <w:color w:val="57585B"/>
                <w:spacing w:val="-5"/>
                <w:sz w:val="18"/>
                <w:lang w:bidi="fr-FR"/>
              </w:rPr>
              <w:t xml:space="preserve">Poursuivre la mise en œuvre des nouveaux programmes scolaires fondés sur les compétences en formant les enseignants du </w:t>
            </w:r>
            <w:proofErr w:type="spellStart"/>
            <w:r>
              <w:rPr>
                <w:color w:val="57585B"/>
                <w:spacing w:val="-5"/>
                <w:sz w:val="18"/>
                <w:lang w:bidi="fr-FR"/>
              </w:rPr>
              <w:t>préprimaire</w:t>
            </w:r>
            <w:proofErr w:type="spellEnd"/>
            <w:r>
              <w:rPr>
                <w:color w:val="57585B"/>
                <w:spacing w:val="-5"/>
                <w:sz w:val="18"/>
                <w:lang w:bidi="fr-FR"/>
              </w:rPr>
              <w:t>, du primaire et du secondaire, et en mettant à disposition des supports d</w:t>
            </w:r>
            <w:r w:rsidR="00D37804">
              <w:rPr>
                <w:color w:val="57585B"/>
                <w:spacing w:val="-5"/>
                <w:sz w:val="18"/>
                <w:lang w:bidi="fr-FR"/>
              </w:rPr>
              <w:t>’</w:t>
            </w:r>
            <w:r>
              <w:rPr>
                <w:color w:val="57585B"/>
                <w:spacing w:val="-5"/>
                <w:sz w:val="18"/>
                <w:lang w:bidi="fr-FR"/>
              </w:rPr>
              <w:t>enseignement et d</w:t>
            </w:r>
            <w:r w:rsidR="00D37804">
              <w:rPr>
                <w:color w:val="57585B"/>
                <w:spacing w:val="-5"/>
                <w:sz w:val="18"/>
                <w:lang w:bidi="fr-FR"/>
              </w:rPr>
              <w:t>’</w:t>
            </w:r>
            <w:r>
              <w:rPr>
                <w:color w:val="57585B"/>
                <w:spacing w:val="-5"/>
                <w:sz w:val="18"/>
                <w:lang w:bidi="fr-FR"/>
              </w:rPr>
              <w:t>apprentissage.</w:t>
            </w:r>
          </w:p>
        </w:tc>
      </w:tr>
      <w:tr w:rsidR="00E35672" w:rsidTr="00F73B19">
        <w:trPr>
          <w:trHeight w:val="5170"/>
        </w:trPr>
        <w:tc>
          <w:tcPr>
            <w:tcW w:w="2263" w:type="dxa"/>
            <w:tcBorders>
              <w:left w:val="nil"/>
              <w:right w:val="nil"/>
            </w:tcBorders>
            <w:shd w:val="clear" w:color="auto" w:fill="F1F2F2"/>
            <w:vAlign w:val="center"/>
          </w:tcPr>
          <w:p w:rsidR="00E35672" w:rsidRDefault="003125F6" w:rsidP="00F73B19">
            <w:pPr>
              <w:pStyle w:val="TableParagraph"/>
              <w:jc w:val="center"/>
              <w:rPr>
                <w:b/>
                <w:sz w:val="18"/>
              </w:rPr>
            </w:pPr>
            <w:r>
              <w:rPr>
                <w:b/>
                <w:color w:val="913592"/>
                <w:sz w:val="18"/>
                <w:lang w:bidi="fr-FR"/>
              </w:rPr>
              <w:t>Indicateurs</w:t>
            </w:r>
          </w:p>
        </w:tc>
        <w:tc>
          <w:tcPr>
            <w:tcW w:w="4382" w:type="dxa"/>
            <w:tcBorders>
              <w:left w:val="nil"/>
            </w:tcBorders>
          </w:tcPr>
          <w:p w:rsidR="00E35672" w:rsidRDefault="003125F6" w:rsidP="00F73B19">
            <w:pPr>
              <w:pStyle w:val="TableParagraph"/>
              <w:spacing w:before="127" w:line="278" w:lineRule="auto"/>
              <w:ind w:left="117" w:right="158"/>
              <w:rPr>
                <w:sz w:val="18"/>
              </w:rPr>
            </w:pPr>
            <w:r>
              <w:rPr>
                <w:color w:val="57585B"/>
                <w:spacing w:val="-4"/>
                <w:sz w:val="18"/>
                <w:lang w:bidi="fr-FR"/>
              </w:rPr>
              <w:t>Indicateurs de processus et de produit mesurant la mise en œuvre des interventions spécifiques, si possible combinés à des indicateurs de résultats. Indicateurs liés aux efforts de résolution des problèmes, alignement sur un cadre politique commun, suivi participatif.</w:t>
            </w:r>
          </w:p>
        </w:tc>
        <w:tc>
          <w:tcPr>
            <w:tcW w:w="7115" w:type="dxa"/>
            <w:tcBorders>
              <w:right w:val="nil"/>
            </w:tcBorders>
          </w:tcPr>
          <w:p w:rsidR="00E35672" w:rsidRDefault="003125F6" w:rsidP="00A07272">
            <w:pPr>
              <w:pStyle w:val="TableParagraph"/>
              <w:spacing w:before="127" w:line="278" w:lineRule="auto"/>
              <w:ind w:left="111" w:right="56"/>
              <w:rPr>
                <w:sz w:val="18"/>
              </w:rPr>
            </w:pPr>
            <w:r>
              <w:rPr>
                <w:color w:val="57585B"/>
                <w:spacing w:val="-4"/>
                <w:sz w:val="18"/>
                <w:lang w:bidi="fr-FR"/>
              </w:rPr>
              <w:t>Veillez à ce que l’analyse comprenne des indicateurs pour le sous-secteur de l’EPE, comme indiqué dans le cadre de résultats du plan sectoriel d’éducation.</w:t>
            </w:r>
          </w:p>
          <w:p w:rsidR="00E35672" w:rsidRDefault="003125F6" w:rsidP="00A07272">
            <w:pPr>
              <w:pStyle w:val="TableParagraph"/>
              <w:spacing w:before="113" w:line="278" w:lineRule="auto"/>
              <w:ind w:left="111" w:right="56"/>
              <w:rPr>
                <w:sz w:val="18"/>
              </w:rPr>
            </w:pPr>
            <w:r>
              <w:rPr>
                <w:color w:val="57585B"/>
                <w:sz w:val="18"/>
                <w:lang w:bidi="fr-FR"/>
              </w:rPr>
              <w:t>En 2015, le Cambodge a organisé une revue sectorielle conjointe autour de six domaines thématiques : les soins et l</w:t>
            </w:r>
            <w:r w:rsidR="00D37804">
              <w:rPr>
                <w:color w:val="57585B"/>
                <w:sz w:val="18"/>
                <w:lang w:bidi="fr-FR"/>
              </w:rPr>
              <w:t>’</w:t>
            </w:r>
            <w:r>
              <w:rPr>
                <w:color w:val="57585B"/>
                <w:sz w:val="18"/>
                <w:lang w:bidi="fr-FR"/>
              </w:rPr>
              <w:t>éducation de la petite enfance, l</w:t>
            </w:r>
            <w:r w:rsidR="00D37804">
              <w:rPr>
                <w:color w:val="57585B"/>
                <w:sz w:val="18"/>
                <w:lang w:bidi="fr-FR"/>
              </w:rPr>
              <w:t>’</w:t>
            </w:r>
            <w:r>
              <w:rPr>
                <w:color w:val="57585B"/>
                <w:sz w:val="18"/>
                <w:lang w:bidi="fr-FR"/>
              </w:rPr>
              <w:t>enseignement primaire, l</w:t>
            </w:r>
            <w:r w:rsidR="00D37804">
              <w:rPr>
                <w:color w:val="57585B"/>
                <w:sz w:val="18"/>
                <w:lang w:bidi="fr-FR"/>
              </w:rPr>
              <w:t>’</w:t>
            </w:r>
            <w:r>
              <w:rPr>
                <w:color w:val="57585B"/>
                <w:sz w:val="18"/>
                <w:lang w:bidi="fr-FR"/>
              </w:rPr>
              <w:t>enseignement secondaire, l</w:t>
            </w:r>
            <w:r w:rsidR="00D37804">
              <w:rPr>
                <w:color w:val="57585B"/>
                <w:sz w:val="18"/>
                <w:lang w:bidi="fr-FR"/>
              </w:rPr>
              <w:t>’</w:t>
            </w:r>
            <w:r>
              <w:rPr>
                <w:color w:val="57585B"/>
                <w:sz w:val="18"/>
                <w:lang w:bidi="fr-FR"/>
              </w:rPr>
              <w:t>enseignement technique et de l</w:t>
            </w:r>
            <w:r w:rsidR="00D37804">
              <w:rPr>
                <w:color w:val="57585B"/>
                <w:sz w:val="18"/>
                <w:lang w:bidi="fr-FR"/>
              </w:rPr>
              <w:t>’</w:t>
            </w:r>
            <w:r>
              <w:rPr>
                <w:color w:val="57585B"/>
                <w:sz w:val="18"/>
                <w:lang w:bidi="fr-FR"/>
              </w:rPr>
              <w:t>employabilité, l</w:t>
            </w:r>
            <w:r w:rsidR="00D37804">
              <w:rPr>
                <w:color w:val="57585B"/>
                <w:sz w:val="18"/>
                <w:lang w:bidi="fr-FR"/>
              </w:rPr>
              <w:t>’</w:t>
            </w:r>
            <w:r>
              <w:rPr>
                <w:color w:val="57585B"/>
                <w:sz w:val="18"/>
                <w:lang w:bidi="fr-FR"/>
              </w:rPr>
              <w:t>éducation informelle et l</w:t>
            </w:r>
            <w:r w:rsidR="00D37804">
              <w:rPr>
                <w:color w:val="57585B"/>
                <w:sz w:val="18"/>
                <w:lang w:bidi="fr-FR"/>
              </w:rPr>
              <w:t>’</w:t>
            </w:r>
            <w:r>
              <w:rPr>
                <w:color w:val="57585B"/>
                <w:sz w:val="18"/>
                <w:lang w:bidi="fr-FR"/>
              </w:rPr>
              <w:t>enseignement supérieur.</w:t>
            </w:r>
          </w:p>
          <w:p w:rsidR="00E35672" w:rsidRDefault="003125F6" w:rsidP="00A07272">
            <w:pPr>
              <w:pStyle w:val="TableParagraph"/>
              <w:spacing w:before="113"/>
              <w:ind w:left="111" w:right="56"/>
              <w:rPr>
                <w:sz w:val="18"/>
              </w:rPr>
            </w:pPr>
            <w:r>
              <w:rPr>
                <w:color w:val="57585B"/>
                <w:sz w:val="18"/>
                <w:lang w:bidi="fr-FR"/>
              </w:rPr>
              <w:t>Les indicateurs (de ressources, produits et résultats) spécifiques à l’EPE étaient les suivants :</w:t>
            </w:r>
          </w:p>
          <w:p w:rsidR="00E35672" w:rsidRDefault="003125F6" w:rsidP="00A07272">
            <w:pPr>
              <w:pStyle w:val="TableParagraph"/>
              <w:numPr>
                <w:ilvl w:val="0"/>
                <w:numId w:val="1"/>
              </w:numPr>
              <w:tabs>
                <w:tab w:val="left" w:pos="678"/>
                <w:tab w:val="left" w:pos="679"/>
              </w:tabs>
              <w:spacing w:before="147"/>
              <w:ind w:right="56"/>
              <w:rPr>
                <w:sz w:val="18"/>
              </w:rPr>
            </w:pPr>
            <w:r>
              <w:rPr>
                <w:color w:val="57585B"/>
                <w:sz w:val="18"/>
                <w:lang w:bidi="fr-FR"/>
              </w:rPr>
              <w:t>Pourcentage d’enfants de 5 ans en établissement préscolaire</w:t>
            </w:r>
          </w:p>
          <w:p w:rsidR="00E35672" w:rsidRDefault="003125F6" w:rsidP="00A07272">
            <w:pPr>
              <w:pStyle w:val="TableParagraph"/>
              <w:numPr>
                <w:ilvl w:val="0"/>
                <w:numId w:val="1"/>
              </w:numPr>
              <w:tabs>
                <w:tab w:val="left" w:pos="678"/>
                <w:tab w:val="left" w:pos="679"/>
              </w:tabs>
              <w:spacing w:before="146"/>
              <w:ind w:right="56"/>
              <w:rPr>
                <w:sz w:val="18"/>
              </w:rPr>
            </w:pPr>
            <w:r>
              <w:rPr>
                <w:color w:val="57585B"/>
                <w:sz w:val="18"/>
                <w:lang w:bidi="fr-FR"/>
              </w:rPr>
              <w:t>Pourcentage d’enfants de 4 ans en établissement d’EPE/préscolaire</w:t>
            </w:r>
          </w:p>
          <w:p w:rsidR="00E35672" w:rsidRDefault="003125F6" w:rsidP="00A07272">
            <w:pPr>
              <w:pStyle w:val="TableParagraph"/>
              <w:numPr>
                <w:ilvl w:val="0"/>
                <w:numId w:val="1"/>
              </w:numPr>
              <w:tabs>
                <w:tab w:val="left" w:pos="678"/>
                <w:tab w:val="left" w:pos="679"/>
              </w:tabs>
              <w:spacing w:before="146"/>
              <w:ind w:right="56"/>
              <w:rPr>
                <w:sz w:val="18"/>
              </w:rPr>
            </w:pPr>
            <w:r>
              <w:rPr>
                <w:color w:val="57585B"/>
                <w:sz w:val="18"/>
                <w:lang w:bidi="fr-FR"/>
              </w:rPr>
              <w:t>Pourcentage d’enfants de 3 ans en établissement d’EPE/préscolaire</w:t>
            </w:r>
          </w:p>
          <w:p w:rsidR="00E35672" w:rsidRDefault="003125F6" w:rsidP="00A07272">
            <w:pPr>
              <w:pStyle w:val="TableParagraph"/>
              <w:numPr>
                <w:ilvl w:val="0"/>
                <w:numId w:val="1"/>
              </w:numPr>
              <w:tabs>
                <w:tab w:val="left" w:pos="678"/>
                <w:tab w:val="left" w:pos="679"/>
              </w:tabs>
              <w:spacing w:before="147"/>
              <w:ind w:right="56"/>
              <w:rPr>
                <w:sz w:val="18"/>
              </w:rPr>
            </w:pPr>
            <w:r>
              <w:rPr>
                <w:color w:val="57585B"/>
                <w:sz w:val="18"/>
                <w:lang w:bidi="fr-FR"/>
              </w:rPr>
              <w:t>Pourcentage de services d’EPE conformes aux normes de qualité</w:t>
            </w:r>
          </w:p>
          <w:p w:rsidR="00E35672" w:rsidRDefault="003125F6" w:rsidP="00A07272">
            <w:pPr>
              <w:pStyle w:val="TableParagraph"/>
              <w:numPr>
                <w:ilvl w:val="0"/>
                <w:numId w:val="1"/>
              </w:numPr>
              <w:tabs>
                <w:tab w:val="left" w:pos="678"/>
                <w:tab w:val="left" w:pos="679"/>
              </w:tabs>
              <w:spacing w:before="146"/>
              <w:ind w:right="56"/>
              <w:rPr>
                <w:sz w:val="18"/>
              </w:rPr>
            </w:pPr>
            <w:r>
              <w:rPr>
                <w:color w:val="57585B"/>
                <w:sz w:val="18"/>
                <w:lang w:bidi="fr-FR"/>
              </w:rPr>
              <w:t>Pourcentage de services d’EPE dont la capacité d’apprentissage de 5 ans a été testée</w:t>
            </w:r>
          </w:p>
          <w:p w:rsidR="00E35672" w:rsidRDefault="003125F6" w:rsidP="00A07272">
            <w:pPr>
              <w:pStyle w:val="TableParagraph"/>
              <w:numPr>
                <w:ilvl w:val="0"/>
                <w:numId w:val="1"/>
              </w:numPr>
              <w:tabs>
                <w:tab w:val="left" w:pos="678"/>
                <w:tab w:val="left" w:pos="679"/>
              </w:tabs>
              <w:spacing w:before="147"/>
              <w:ind w:right="56"/>
              <w:rPr>
                <w:sz w:val="18"/>
              </w:rPr>
            </w:pPr>
            <w:r>
              <w:rPr>
                <w:color w:val="57585B"/>
                <w:sz w:val="18"/>
                <w:lang w:bidi="fr-FR"/>
              </w:rPr>
              <w:t>Pourcentage d’enfants dont l’état nutritionnel est acceptable</w:t>
            </w:r>
          </w:p>
          <w:p w:rsidR="00E35672" w:rsidRDefault="003125F6" w:rsidP="00A07272">
            <w:pPr>
              <w:pStyle w:val="TableParagraph"/>
              <w:numPr>
                <w:ilvl w:val="0"/>
                <w:numId w:val="1"/>
              </w:numPr>
              <w:tabs>
                <w:tab w:val="left" w:pos="678"/>
                <w:tab w:val="left" w:pos="679"/>
              </w:tabs>
              <w:spacing w:before="146"/>
              <w:ind w:right="56"/>
              <w:rPr>
                <w:sz w:val="18"/>
              </w:rPr>
            </w:pPr>
            <w:r>
              <w:rPr>
                <w:color w:val="57585B"/>
                <w:sz w:val="18"/>
                <w:lang w:bidi="fr-FR"/>
              </w:rPr>
              <w:t>Pourcentage d’enfants en établissement préscolaire public ayant reçu un traitement vermifuge</w:t>
            </w:r>
          </w:p>
        </w:tc>
      </w:tr>
    </w:tbl>
    <w:p w:rsidR="00E35672" w:rsidRDefault="00E35672">
      <w:pPr>
        <w:rPr>
          <w:sz w:val="18"/>
        </w:rPr>
        <w:sectPr w:rsidR="00E35672">
          <w:pgSz w:w="15840" w:h="12240" w:orient="landscape"/>
          <w:pgMar w:top="840" w:right="940" w:bottom="280" w:left="860" w:header="574" w:footer="0" w:gutter="0"/>
          <w:cols w:space="720"/>
        </w:sectPr>
      </w:pPr>
    </w:p>
    <w:p w:rsidR="00E35672" w:rsidRDefault="00E35672">
      <w:pPr>
        <w:pStyle w:val="Textoindependiente"/>
        <w:spacing w:before="5" w:after="1"/>
        <w:rPr>
          <w:rFonts w:ascii="Times New Roman"/>
          <w:sz w:val="25"/>
        </w:rPr>
      </w:pPr>
    </w:p>
    <w:tbl>
      <w:tblPr>
        <w:tblStyle w:val="TableNormal1"/>
        <w:tblW w:w="0" w:type="auto"/>
        <w:tblInd w:w="14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4382"/>
        <w:gridCol w:w="7115"/>
      </w:tblGrid>
      <w:tr w:rsidR="00E35672">
        <w:trPr>
          <w:trHeight w:val="357"/>
        </w:trPr>
        <w:tc>
          <w:tcPr>
            <w:tcW w:w="2263" w:type="dxa"/>
            <w:tcBorders>
              <w:left w:val="nil"/>
              <w:right w:val="nil"/>
            </w:tcBorders>
          </w:tcPr>
          <w:p w:rsidR="00E35672" w:rsidRDefault="00E35672">
            <w:pPr>
              <w:pStyle w:val="TableParagraph"/>
              <w:rPr>
                <w:rFonts w:ascii="Times New Roman"/>
                <w:sz w:val="16"/>
              </w:rPr>
            </w:pPr>
          </w:p>
        </w:tc>
        <w:tc>
          <w:tcPr>
            <w:tcW w:w="4382" w:type="dxa"/>
            <w:tcBorders>
              <w:left w:val="nil"/>
              <w:right w:val="nil"/>
            </w:tcBorders>
          </w:tcPr>
          <w:p w:rsidR="00E35672" w:rsidRPr="001F6118" w:rsidRDefault="003125F6" w:rsidP="001F6118">
            <w:pPr>
              <w:pStyle w:val="TableParagraph"/>
              <w:spacing w:before="64"/>
              <w:jc w:val="center"/>
              <w:rPr>
                <w:b/>
                <w:sz w:val="18"/>
                <w:szCs w:val="18"/>
              </w:rPr>
            </w:pPr>
            <w:r w:rsidRPr="001F6118">
              <w:rPr>
                <w:b/>
                <w:color w:val="913592"/>
                <w:sz w:val="18"/>
                <w:szCs w:val="18"/>
                <w:lang w:bidi="fr-FR"/>
              </w:rPr>
              <w:t xml:space="preserve">Caractéristiques de la revue sectorielle </w:t>
            </w:r>
            <w:r w:rsidR="001F6118">
              <w:rPr>
                <w:b/>
                <w:color w:val="913592"/>
                <w:sz w:val="18"/>
                <w:szCs w:val="18"/>
                <w:lang w:bidi="fr-FR"/>
              </w:rPr>
              <w:br/>
            </w:r>
            <w:r w:rsidRPr="001F6118">
              <w:rPr>
                <w:b/>
                <w:color w:val="913592"/>
                <w:sz w:val="18"/>
                <w:szCs w:val="18"/>
                <w:lang w:bidi="fr-FR"/>
              </w:rPr>
              <w:t>conjointe annuelle</w:t>
            </w:r>
          </w:p>
        </w:tc>
        <w:tc>
          <w:tcPr>
            <w:tcW w:w="7115" w:type="dxa"/>
            <w:tcBorders>
              <w:left w:val="nil"/>
              <w:right w:val="nil"/>
            </w:tcBorders>
          </w:tcPr>
          <w:p w:rsidR="00E35672" w:rsidRPr="001F6118" w:rsidRDefault="003125F6" w:rsidP="001F6118">
            <w:pPr>
              <w:pStyle w:val="TableParagraph"/>
              <w:spacing w:before="64"/>
              <w:jc w:val="center"/>
              <w:rPr>
                <w:b/>
                <w:sz w:val="18"/>
                <w:szCs w:val="18"/>
              </w:rPr>
            </w:pPr>
            <w:r w:rsidRPr="001F6118">
              <w:rPr>
                <w:b/>
                <w:color w:val="913592"/>
                <w:sz w:val="18"/>
                <w:szCs w:val="18"/>
                <w:lang w:bidi="fr-FR"/>
              </w:rPr>
              <w:t>Considérations propres au sous-secteur de l’EPE</w:t>
            </w:r>
          </w:p>
        </w:tc>
      </w:tr>
      <w:tr w:rsidR="00E35672" w:rsidTr="00F73B19">
        <w:trPr>
          <w:trHeight w:val="1340"/>
        </w:trPr>
        <w:tc>
          <w:tcPr>
            <w:tcW w:w="2263" w:type="dxa"/>
            <w:tcBorders>
              <w:left w:val="nil"/>
              <w:right w:val="nil"/>
            </w:tcBorders>
            <w:shd w:val="clear" w:color="auto" w:fill="F1F2F2"/>
            <w:vAlign w:val="center"/>
          </w:tcPr>
          <w:p w:rsidR="00E35672" w:rsidRDefault="003125F6" w:rsidP="00F73B19">
            <w:pPr>
              <w:pStyle w:val="TableParagraph"/>
              <w:ind w:right="293"/>
              <w:jc w:val="center"/>
              <w:rPr>
                <w:b/>
                <w:sz w:val="18"/>
              </w:rPr>
            </w:pPr>
            <w:r>
              <w:rPr>
                <w:b/>
                <w:color w:val="913592"/>
                <w:sz w:val="18"/>
                <w:lang w:bidi="fr-FR"/>
              </w:rPr>
              <w:t>Ressources</w:t>
            </w:r>
          </w:p>
        </w:tc>
        <w:tc>
          <w:tcPr>
            <w:tcW w:w="4382" w:type="dxa"/>
            <w:tcBorders>
              <w:left w:val="nil"/>
            </w:tcBorders>
          </w:tcPr>
          <w:p w:rsidR="00E35672" w:rsidRDefault="003125F6" w:rsidP="00F73B19">
            <w:pPr>
              <w:pStyle w:val="TableParagraph"/>
              <w:spacing w:before="127"/>
              <w:ind w:left="113" w:right="113"/>
              <w:rPr>
                <w:sz w:val="18"/>
              </w:rPr>
            </w:pPr>
            <w:r>
              <w:rPr>
                <w:color w:val="57585B"/>
                <w:spacing w:val="-4"/>
                <w:sz w:val="18"/>
                <w:lang w:bidi="fr-FR"/>
              </w:rPr>
              <w:t>Rapports annuels de mise en œuvre. Informations et données quantitatives et qualitatives provenant d’un large éventail de partenaires du développement et de l’aide humanitaire, en complément du rapport annuel de mise en œuvre.</w:t>
            </w:r>
          </w:p>
        </w:tc>
        <w:tc>
          <w:tcPr>
            <w:tcW w:w="7115" w:type="dxa"/>
            <w:tcBorders>
              <w:right w:val="nil"/>
            </w:tcBorders>
          </w:tcPr>
          <w:p w:rsidR="00E35672" w:rsidRDefault="003125F6" w:rsidP="00F73B19">
            <w:pPr>
              <w:pStyle w:val="TableParagraph"/>
              <w:spacing w:before="127"/>
              <w:ind w:left="113" w:right="113"/>
              <w:rPr>
                <w:sz w:val="18"/>
              </w:rPr>
            </w:pPr>
            <w:r>
              <w:rPr>
                <w:color w:val="57585B"/>
                <w:spacing w:val="-4"/>
                <w:sz w:val="18"/>
                <w:lang w:bidi="fr-FR"/>
              </w:rPr>
              <w:t>Veillez à ce que les rapports des partenaires soient consultés lors de la préparation du rapport de la revue sectorielle conjointe pour le sous-secteur de l’EPE. Ces rapports peuvent être utilisés en complément du rapport de mise en œuvre et des copies sont parfois mises à la disposition des participants lors de la revue conjointe du secteur de l’éducation.</w:t>
            </w:r>
          </w:p>
        </w:tc>
      </w:tr>
      <w:tr w:rsidR="00E35672" w:rsidTr="00F73B19">
        <w:trPr>
          <w:trHeight w:val="844"/>
        </w:trPr>
        <w:tc>
          <w:tcPr>
            <w:tcW w:w="2263" w:type="dxa"/>
            <w:tcBorders>
              <w:left w:val="nil"/>
              <w:right w:val="nil"/>
            </w:tcBorders>
            <w:shd w:val="clear" w:color="auto" w:fill="F1F2F2"/>
            <w:vAlign w:val="center"/>
          </w:tcPr>
          <w:p w:rsidR="00E35672" w:rsidRDefault="003125F6" w:rsidP="00F73B19">
            <w:pPr>
              <w:pStyle w:val="TableParagraph"/>
              <w:ind w:right="293"/>
              <w:jc w:val="center"/>
              <w:rPr>
                <w:b/>
                <w:sz w:val="18"/>
              </w:rPr>
            </w:pPr>
            <w:r>
              <w:rPr>
                <w:b/>
                <w:color w:val="913592"/>
                <w:sz w:val="18"/>
                <w:lang w:bidi="fr-FR"/>
              </w:rPr>
              <w:t>Produits</w:t>
            </w:r>
          </w:p>
        </w:tc>
        <w:tc>
          <w:tcPr>
            <w:tcW w:w="4382" w:type="dxa"/>
            <w:tcBorders>
              <w:left w:val="nil"/>
            </w:tcBorders>
          </w:tcPr>
          <w:p w:rsidR="00E35672" w:rsidRDefault="00A07272" w:rsidP="00F73B19">
            <w:pPr>
              <w:pStyle w:val="TableParagraph"/>
              <w:spacing w:before="127"/>
              <w:ind w:left="113" w:right="113"/>
              <w:rPr>
                <w:sz w:val="18"/>
              </w:rPr>
            </w:pPr>
            <w:r>
              <w:rPr>
                <w:rFonts w:ascii="Times New Roman"/>
                <w:sz w:val="29"/>
              </w:rPr>
              <w:t xml:space="preserve"> </w:t>
            </w:r>
            <w:r w:rsidR="003125F6">
              <w:rPr>
                <w:color w:val="57585B"/>
                <w:sz w:val="18"/>
                <w:lang w:bidi="fr-FR"/>
              </w:rPr>
              <w:t>Aide-mémoire</w:t>
            </w:r>
          </w:p>
        </w:tc>
        <w:tc>
          <w:tcPr>
            <w:tcW w:w="7115" w:type="dxa"/>
            <w:tcBorders>
              <w:right w:val="nil"/>
            </w:tcBorders>
          </w:tcPr>
          <w:p w:rsidR="00E35672" w:rsidRDefault="003125F6" w:rsidP="00F73B19">
            <w:pPr>
              <w:pStyle w:val="TableParagraph"/>
              <w:spacing w:before="127"/>
              <w:ind w:left="113" w:right="113"/>
              <w:rPr>
                <w:sz w:val="18"/>
              </w:rPr>
            </w:pPr>
            <w:r>
              <w:rPr>
                <w:color w:val="57585B"/>
                <w:spacing w:val="-4"/>
                <w:sz w:val="18"/>
                <w:lang w:bidi="fr-FR"/>
              </w:rPr>
              <w:t>Veillez à ce que l’aide-mémoire de la revue sectorielle conjointe comprenne l’EPE. Veuillez consulter l’exemple du Cambodge ci-dessous, dont l’aide-mémoire inclut l’EPE.</w:t>
            </w:r>
          </w:p>
        </w:tc>
      </w:tr>
      <w:tr w:rsidR="00E35672" w:rsidTr="006D5700">
        <w:trPr>
          <w:trHeight w:val="912"/>
        </w:trPr>
        <w:tc>
          <w:tcPr>
            <w:tcW w:w="2263" w:type="dxa"/>
            <w:tcBorders>
              <w:left w:val="nil"/>
              <w:right w:val="nil"/>
            </w:tcBorders>
            <w:shd w:val="clear" w:color="auto" w:fill="F1F2F2"/>
            <w:vAlign w:val="center"/>
          </w:tcPr>
          <w:p w:rsidR="00E35672" w:rsidRDefault="003125F6" w:rsidP="00F73B19">
            <w:pPr>
              <w:pStyle w:val="TableParagraph"/>
              <w:ind w:right="293"/>
              <w:jc w:val="center"/>
              <w:rPr>
                <w:b/>
                <w:sz w:val="18"/>
              </w:rPr>
            </w:pPr>
            <w:r>
              <w:rPr>
                <w:b/>
                <w:color w:val="913592"/>
                <w:sz w:val="18"/>
                <w:lang w:bidi="fr-FR"/>
              </w:rPr>
              <w:t>Effets attendus</w:t>
            </w:r>
          </w:p>
        </w:tc>
        <w:tc>
          <w:tcPr>
            <w:tcW w:w="4382" w:type="dxa"/>
            <w:tcBorders>
              <w:left w:val="nil"/>
            </w:tcBorders>
          </w:tcPr>
          <w:p w:rsidR="00E35672" w:rsidRDefault="003125F6" w:rsidP="00F73B19">
            <w:pPr>
              <w:pStyle w:val="TableParagraph"/>
              <w:spacing w:before="127"/>
              <w:ind w:left="113" w:right="113"/>
              <w:rPr>
                <w:sz w:val="18"/>
              </w:rPr>
            </w:pPr>
            <w:r>
              <w:rPr>
                <w:color w:val="57585B"/>
                <w:spacing w:val="-4"/>
                <w:sz w:val="18"/>
                <w:lang w:bidi="fr-FR"/>
              </w:rPr>
              <w:t>Ajustement du plan opérationnel annuel ou pluriannuel en fonction des recommandations convenues</w:t>
            </w:r>
          </w:p>
        </w:tc>
        <w:tc>
          <w:tcPr>
            <w:tcW w:w="7115" w:type="dxa"/>
            <w:tcBorders>
              <w:right w:val="nil"/>
            </w:tcBorders>
          </w:tcPr>
          <w:p w:rsidR="00E35672" w:rsidRDefault="003125F6" w:rsidP="00F73B19">
            <w:pPr>
              <w:pStyle w:val="TableParagraph"/>
              <w:spacing w:before="127"/>
              <w:ind w:left="113" w:right="113"/>
              <w:rPr>
                <w:sz w:val="18"/>
              </w:rPr>
            </w:pPr>
            <w:r>
              <w:rPr>
                <w:color w:val="57585B"/>
                <w:spacing w:val="-4"/>
                <w:sz w:val="18"/>
                <w:lang w:bidi="fr-FR"/>
              </w:rPr>
              <w:t>Veillez à ce que les résultats de la revue conjointe du secteur de l’éducation, y compris les recommandations, soient utilisés pour ajuster le plan opérationnel pluriannuel.</w:t>
            </w:r>
          </w:p>
        </w:tc>
      </w:tr>
    </w:tbl>
    <w:p w:rsidR="00E35672" w:rsidRDefault="00E35672">
      <w:pPr>
        <w:pStyle w:val="Textoindependiente"/>
        <w:spacing w:before="10"/>
        <w:rPr>
          <w:rFonts w:ascii="Times New Roman"/>
          <w:sz w:val="24"/>
        </w:rPr>
      </w:pPr>
    </w:p>
    <w:p w:rsidR="00E35672" w:rsidRDefault="003125F6">
      <w:pPr>
        <w:spacing w:before="96"/>
        <w:ind w:left="137"/>
        <w:rPr>
          <w:sz w:val="14"/>
        </w:rPr>
      </w:pPr>
      <w:r>
        <w:rPr>
          <w:color w:val="6D6E71"/>
          <w:sz w:val="14"/>
          <w:lang w:bidi="fr-FR"/>
        </w:rPr>
        <w:t xml:space="preserve">Source : Adapté depuis </w:t>
      </w:r>
      <w:r>
        <w:rPr>
          <w:i/>
          <w:color w:val="6D6E71"/>
          <w:sz w:val="14"/>
          <w:lang w:bidi="fr-FR"/>
        </w:rPr>
        <w:t>Revues annuelles conjointes du secteur de la santé :</w:t>
      </w:r>
      <w:r>
        <w:rPr>
          <w:color w:val="6D6E71"/>
          <w:sz w:val="14"/>
          <w:lang w:bidi="fr-FR"/>
        </w:rPr>
        <w:t xml:space="preserve"> </w:t>
      </w:r>
      <w:r>
        <w:rPr>
          <w:i/>
          <w:color w:val="6D6E71"/>
          <w:sz w:val="14"/>
          <w:lang w:bidi="fr-FR"/>
        </w:rPr>
        <w:t>pourquoi et comment les organiser</w:t>
      </w:r>
      <w:r>
        <w:rPr>
          <w:color w:val="6D6E71"/>
          <w:sz w:val="14"/>
          <w:lang w:bidi="fr-FR"/>
        </w:rPr>
        <w:t>, OMS, 2014.</w:t>
      </w:r>
    </w:p>
    <w:sectPr w:rsidR="00E35672">
      <w:pgSz w:w="15840" w:h="12240" w:orient="landscape"/>
      <w:pgMar w:top="840" w:right="940" w:bottom="280" w:left="860" w:header="574"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98E4" w16cex:dateUtc="2021-03-26T17: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408" w:rsidRDefault="00920408">
      <w:r>
        <w:separator/>
      </w:r>
    </w:p>
  </w:endnote>
  <w:endnote w:type="continuationSeparator" w:id="0">
    <w:p w:rsidR="00920408" w:rsidRDefault="00920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408" w:rsidRDefault="00920408">
      <w:r>
        <w:separator/>
      </w:r>
    </w:p>
  </w:footnote>
  <w:footnote w:type="continuationSeparator" w:id="0">
    <w:p w:rsidR="00920408" w:rsidRDefault="00920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672" w:rsidRDefault="00626321">
    <w:pPr>
      <w:pStyle w:val="Textoindependiente"/>
      <w:spacing w:line="14" w:lineRule="auto"/>
    </w:pPr>
    <w:r>
      <w:rPr>
        <w:noProof/>
        <w:lang w:bidi="fr-FR"/>
      </w:rPr>
      <mc:AlternateContent>
        <mc:Choice Requires="wps">
          <w:drawing>
            <wp:anchor distT="0" distB="0" distL="114300" distR="114300" simplePos="0" relativeHeight="503299808" behindDoc="1" locked="0" layoutInCell="1" allowOverlap="1" wp14:anchorId="1F918AF8">
              <wp:simplePos x="0" y="0"/>
              <wp:positionH relativeFrom="page">
                <wp:posOffset>7170420</wp:posOffset>
              </wp:positionH>
              <wp:positionV relativeFrom="page">
                <wp:posOffset>455295</wp:posOffset>
              </wp:positionV>
              <wp:extent cx="107315" cy="13906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672" w:rsidRDefault="003125F6">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2</w:t>
                          </w:r>
                          <w:r>
                            <w:rPr>
                              <w:lang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18AF8" id="_x0000_t202" coordsize="21600,21600" o:spt="202" path="m,l,21600r21600,l21600,xe">
              <v:stroke joinstyle="miter"/>
              <v:path gradientshapeok="t" o:connecttype="rect"/>
            </v:shapetype>
            <v:shape id="Text Box 2" o:spid="_x0000_s1035" type="#_x0000_t202" style="position:absolute;margin-left:564.6pt;margin-top:35.85pt;width:8.45pt;height:10.95pt;z-index:-1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" filled="f" stroked="f">
              <v:path arrowok="t"/>
              <v:textbox inset="0,0,0,0">
                <w:txbxContent>
                  <w:p w:rsidR="00E35672" w:rsidRDefault="003125F6">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2</w:t>
                    </w:r>
                    <w:r>
                      <w:rPr>
                        <w:lang w:bidi="fr-FR"/>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672" w:rsidRDefault="00E35672">
    <w:pPr>
      <w:pStyle w:val="Textoindependiente"/>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672" w:rsidRDefault="00626321">
    <w:pPr>
      <w:pStyle w:val="Textoindependiente"/>
      <w:spacing w:line="14" w:lineRule="auto"/>
    </w:pPr>
    <w:r>
      <w:rPr>
        <w:noProof/>
        <w:lang w:bidi="fr-FR"/>
      </w:rPr>
      <mc:AlternateContent>
        <mc:Choice Requires="wps">
          <w:drawing>
            <wp:anchor distT="0" distB="0" distL="114300" distR="114300" simplePos="0" relativeHeight="503299832" behindDoc="1" locked="0" layoutInCell="1" allowOverlap="1" wp14:anchorId="2D8D0BA3">
              <wp:simplePos x="0" y="0"/>
              <wp:positionH relativeFrom="page">
                <wp:posOffset>9545320</wp:posOffset>
              </wp:positionH>
              <wp:positionV relativeFrom="page">
                <wp:posOffset>365125</wp:posOffset>
              </wp:positionV>
              <wp:extent cx="163830" cy="139065"/>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38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672" w:rsidRDefault="003125F6">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10</w:t>
                          </w:r>
                          <w:r>
                            <w:rPr>
                              <w:lang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8D0BA3" id="_x0000_t202" coordsize="21600,21600" o:spt="202" path="m,l,21600r21600,l21600,xe">
              <v:stroke joinstyle="miter"/>
              <v:path gradientshapeok="t" o:connecttype="rect"/>
            </v:shapetype>
            <v:shape id="Text Box 1" o:spid="_x0000_s1036" type="#_x0000_t202" style="position:absolute;margin-left:751.6pt;margin-top:28.75pt;width:12.9pt;height:10.95pt;z-index:-16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" filled="f" stroked="f">
              <v:path arrowok="t"/>
              <v:textbox inset="0,0,0,0">
                <w:txbxContent>
                  <w:p w:rsidR="00E35672" w:rsidRDefault="003125F6">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10</w:t>
                    </w:r>
                    <w:r>
                      <w:rPr>
                        <w:lang w:bidi="fr-FR"/>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6805"/>
    <w:multiLevelType w:val="hybridMultilevel"/>
    <w:tmpl w:val="AA0C1CF2"/>
    <w:lvl w:ilvl="0" w:tplc="B16AE0FE">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21E49C78">
      <w:numFmt w:val="bullet"/>
      <w:lvlText w:val="•"/>
      <w:lvlJc w:val="left"/>
      <w:pPr>
        <w:ind w:left="1323" w:hanging="567"/>
      </w:pPr>
      <w:rPr>
        <w:rFonts w:hint="default"/>
        <w:lang w:val="en-US" w:eastAsia="en-US" w:bidi="en-US"/>
      </w:rPr>
    </w:lvl>
    <w:lvl w:ilvl="2" w:tplc="2822042A">
      <w:numFmt w:val="bullet"/>
      <w:lvlText w:val="•"/>
      <w:lvlJc w:val="left"/>
      <w:pPr>
        <w:ind w:left="1966" w:hanging="567"/>
      </w:pPr>
      <w:rPr>
        <w:rFonts w:hint="default"/>
        <w:lang w:val="en-US" w:eastAsia="en-US" w:bidi="en-US"/>
      </w:rPr>
    </w:lvl>
    <w:lvl w:ilvl="3" w:tplc="02E0A89C">
      <w:numFmt w:val="bullet"/>
      <w:lvlText w:val="•"/>
      <w:lvlJc w:val="left"/>
      <w:pPr>
        <w:ind w:left="2609" w:hanging="567"/>
      </w:pPr>
      <w:rPr>
        <w:rFonts w:hint="default"/>
        <w:lang w:val="en-US" w:eastAsia="en-US" w:bidi="en-US"/>
      </w:rPr>
    </w:lvl>
    <w:lvl w:ilvl="4" w:tplc="091257E8">
      <w:numFmt w:val="bullet"/>
      <w:lvlText w:val="•"/>
      <w:lvlJc w:val="left"/>
      <w:pPr>
        <w:ind w:left="3252" w:hanging="567"/>
      </w:pPr>
      <w:rPr>
        <w:rFonts w:hint="default"/>
        <w:lang w:val="en-US" w:eastAsia="en-US" w:bidi="en-US"/>
      </w:rPr>
    </w:lvl>
    <w:lvl w:ilvl="5" w:tplc="BF34D9EC">
      <w:numFmt w:val="bullet"/>
      <w:lvlText w:val="•"/>
      <w:lvlJc w:val="left"/>
      <w:pPr>
        <w:ind w:left="3895" w:hanging="567"/>
      </w:pPr>
      <w:rPr>
        <w:rFonts w:hint="default"/>
        <w:lang w:val="en-US" w:eastAsia="en-US" w:bidi="en-US"/>
      </w:rPr>
    </w:lvl>
    <w:lvl w:ilvl="6" w:tplc="F55ED780">
      <w:numFmt w:val="bullet"/>
      <w:lvlText w:val="•"/>
      <w:lvlJc w:val="left"/>
      <w:pPr>
        <w:ind w:left="4538" w:hanging="567"/>
      </w:pPr>
      <w:rPr>
        <w:rFonts w:hint="default"/>
        <w:lang w:val="en-US" w:eastAsia="en-US" w:bidi="en-US"/>
      </w:rPr>
    </w:lvl>
    <w:lvl w:ilvl="7" w:tplc="D9AAEE42">
      <w:numFmt w:val="bullet"/>
      <w:lvlText w:val="•"/>
      <w:lvlJc w:val="left"/>
      <w:pPr>
        <w:ind w:left="5181" w:hanging="567"/>
      </w:pPr>
      <w:rPr>
        <w:rFonts w:hint="default"/>
        <w:lang w:val="en-US" w:eastAsia="en-US" w:bidi="en-US"/>
      </w:rPr>
    </w:lvl>
    <w:lvl w:ilvl="8" w:tplc="00B46368">
      <w:numFmt w:val="bullet"/>
      <w:lvlText w:val="•"/>
      <w:lvlJc w:val="left"/>
      <w:pPr>
        <w:ind w:left="5824" w:hanging="567"/>
      </w:pPr>
      <w:rPr>
        <w:rFonts w:hint="default"/>
        <w:lang w:val="en-US" w:eastAsia="en-US" w:bidi="en-US"/>
      </w:rPr>
    </w:lvl>
  </w:abstractNum>
  <w:abstractNum w:abstractNumId="1" w15:restartNumberingAfterBreak="0">
    <w:nsid w:val="07AD2BF9"/>
    <w:multiLevelType w:val="hybridMultilevel"/>
    <w:tmpl w:val="6B38DA14"/>
    <w:lvl w:ilvl="0" w:tplc="C204A87E">
      <w:start w:val="1"/>
      <w:numFmt w:val="lowerLetter"/>
      <w:lvlText w:val="%1."/>
      <w:lvlJc w:val="left"/>
      <w:pPr>
        <w:ind w:left="678" w:hanging="567"/>
      </w:pPr>
      <w:rPr>
        <w:rFonts w:ascii="Arial" w:eastAsia="Arial" w:hAnsi="Arial" w:cs="Arial" w:hint="default"/>
        <w:b/>
        <w:bCs/>
        <w:color w:val="57585B"/>
        <w:spacing w:val="-24"/>
        <w:w w:val="100"/>
        <w:sz w:val="18"/>
        <w:szCs w:val="18"/>
        <w:lang w:val="en-US" w:eastAsia="en-US" w:bidi="en-US"/>
      </w:rPr>
    </w:lvl>
    <w:lvl w:ilvl="1" w:tplc="63506796">
      <w:numFmt w:val="bullet"/>
      <w:lvlText w:val="•"/>
      <w:lvlJc w:val="left"/>
      <w:pPr>
        <w:ind w:left="1323" w:hanging="567"/>
      </w:pPr>
      <w:rPr>
        <w:rFonts w:hint="default"/>
        <w:lang w:val="en-US" w:eastAsia="en-US" w:bidi="en-US"/>
      </w:rPr>
    </w:lvl>
    <w:lvl w:ilvl="2" w:tplc="6D42ECA6">
      <w:numFmt w:val="bullet"/>
      <w:lvlText w:val="•"/>
      <w:lvlJc w:val="left"/>
      <w:pPr>
        <w:ind w:left="1966" w:hanging="567"/>
      </w:pPr>
      <w:rPr>
        <w:rFonts w:hint="default"/>
        <w:lang w:val="en-US" w:eastAsia="en-US" w:bidi="en-US"/>
      </w:rPr>
    </w:lvl>
    <w:lvl w:ilvl="3" w:tplc="6160258C">
      <w:numFmt w:val="bullet"/>
      <w:lvlText w:val="•"/>
      <w:lvlJc w:val="left"/>
      <w:pPr>
        <w:ind w:left="2609" w:hanging="567"/>
      </w:pPr>
      <w:rPr>
        <w:rFonts w:hint="default"/>
        <w:lang w:val="en-US" w:eastAsia="en-US" w:bidi="en-US"/>
      </w:rPr>
    </w:lvl>
    <w:lvl w:ilvl="4" w:tplc="B3ECE370">
      <w:numFmt w:val="bullet"/>
      <w:lvlText w:val="•"/>
      <w:lvlJc w:val="left"/>
      <w:pPr>
        <w:ind w:left="3252" w:hanging="567"/>
      </w:pPr>
      <w:rPr>
        <w:rFonts w:hint="default"/>
        <w:lang w:val="en-US" w:eastAsia="en-US" w:bidi="en-US"/>
      </w:rPr>
    </w:lvl>
    <w:lvl w:ilvl="5" w:tplc="EC0873E6">
      <w:numFmt w:val="bullet"/>
      <w:lvlText w:val="•"/>
      <w:lvlJc w:val="left"/>
      <w:pPr>
        <w:ind w:left="3895" w:hanging="567"/>
      </w:pPr>
      <w:rPr>
        <w:rFonts w:hint="default"/>
        <w:lang w:val="en-US" w:eastAsia="en-US" w:bidi="en-US"/>
      </w:rPr>
    </w:lvl>
    <w:lvl w:ilvl="6" w:tplc="D6622EDC">
      <w:numFmt w:val="bullet"/>
      <w:lvlText w:val="•"/>
      <w:lvlJc w:val="left"/>
      <w:pPr>
        <w:ind w:left="4538" w:hanging="567"/>
      </w:pPr>
      <w:rPr>
        <w:rFonts w:hint="default"/>
        <w:lang w:val="en-US" w:eastAsia="en-US" w:bidi="en-US"/>
      </w:rPr>
    </w:lvl>
    <w:lvl w:ilvl="7" w:tplc="3146D2C4">
      <w:numFmt w:val="bullet"/>
      <w:lvlText w:val="•"/>
      <w:lvlJc w:val="left"/>
      <w:pPr>
        <w:ind w:left="5181" w:hanging="567"/>
      </w:pPr>
      <w:rPr>
        <w:rFonts w:hint="default"/>
        <w:lang w:val="en-US" w:eastAsia="en-US" w:bidi="en-US"/>
      </w:rPr>
    </w:lvl>
    <w:lvl w:ilvl="8" w:tplc="5BAC6100">
      <w:numFmt w:val="bullet"/>
      <w:lvlText w:val="•"/>
      <w:lvlJc w:val="left"/>
      <w:pPr>
        <w:ind w:left="5824" w:hanging="567"/>
      </w:pPr>
      <w:rPr>
        <w:rFonts w:hint="default"/>
        <w:lang w:val="en-US" w:eastAsia="en-US" w:bidi="en-US"/>
      </w:rPr>
    </w:lvl>
  </w:abstractNum>
  <w:abstractNum w:abstractNumId="2" w15:restartNumberingAfterBreak="0">
    <w:nsid w:val="0C8D2D63"/>
    <w:multiLevelType w:val="hybridMultilevel"/>
    <w:tmpl w:val="C0AE8DEE"/>
    <w:lvl w:ilvl="0" w:tplc="582E7736">
      <w:start w:val="1"/>
      <w:numFmt w:val="lowerLetter"/>
      <w:lvlText w:val="(%1)"/>
      <w:lvlJc w:val="left"/>
      <w:pPr>
        <w:ind w:left="113" w:hanging="323"/>
      </w:pPr>
      <w:rPr>
        <w:rFonts w:ascii="Arial" w:eastAsia="Arial" w:hAnsi="Arial" w:cs="Arial" w:hint="default"/>
        <w:b/>
        <w:bCs/>
        <w:color w:val="913592"/>
        <w:spacing w:val="0"/>
        <w:w w:val="100"/>
        <w:sz w:val="20"/>
        <w:szCs w:val="20"/>
        <w:lang w:val="en-US" w:eastAsia="en-US" w:bidi="en-US"/>
      </w:rPr>
    </w:lvl>
    <w:lvl w:ilvl="1" w:tplc="AF365BEE">
      <w:numFmt w:val="bullet"/>
      <w:lvlText w:val="•"/>
      <w:lvlJc w:val="left"/>
      <w:pPr>
        <w:ind w:left="1128" w:hanging="323"/>
      </w:pPr>
      <w:rPr>
        <w:rFonts w:hint="default"/>
        <w:lang w:val="en-US" w:eastAsia="en-US" w:bidi="en-US"/>
      </w:rPr>
    </w:lvl>
    <w:lvl w:ilvl="2" w:tplc="1E889162">
      <w:numFmt w:val="bullet"/>
      <w:lvlText w:val="•"/>
      <w:lvlJc w:val="left"/>
      <w:pPr>
        <w:ind w:left="2136" w:hanging="323"/>
      </w:pPr>
      <w:rPr>
        <w:rFonts w:hint="default"/>
        <w:lang w:val="en-US" w:eastAsia="en-US" w:bidi="en-US"/>
      </w:rPr>
    </w:lvl>
    <w:lvl w:ilvl="3" w:tplc="DE06178A">
      <w:numFmt w:val="bullet"/>
      <w:lvlText w:val="•"/>
      <w:lvlJc w:val="left"/>
      <w:pPr>
        <w:ind w:left="3144" w:hanging="323"/>
      </w:pPr>
      <w:rPr>
        <w:rFonts w:hint="default"/>
        <w:lang w:val="en-US" w:eastAsia="en-US" w:bidi="en-US"/>
      </w:rPr>
    </w:lvl>
    <w:lvl w:ilvl="4" w:tplc="6F1CEB22">
      <w:numFmt w:val="bullet"/>
      <w:lvlText w:val="•"/>
      <w:lvlJc w:val="left"/>
      <w:pPr>
        <w:ind w:left="4152" w:hanging="323"/>
      </w:pPr>
      <w:rPr>
        <w:rFonts w:hint="default"/>
        <w:lang w:val="en-US" w:eastAsia="en-US" w:bidi="en-US"/>
      </w:rPr>
    </w:lvl>
    <w:lvl w:ilvl="5" w:tplc="2B06055E">
      <w:numFmt w:val="bullet"/>
      <w:lvlText w:val="•"/>
      <w:lvlJc w:val="left"/>
      <w:pPr>
        <w:ind w:left="5160" w:hanging="323"/>
      </w:pPr>
      <w:rPr>
        <w:rFonts w:hint="default"/>
        <w:lang w:val="en-US" w:eastAsia="en-US" w:bidi="en-US"/>
      </w:rPr>
    </w:lvl>
    <w:lvl w:ilvl="6" w:tplc="589CD4E0">
      <w:numFmt w:val="bullet"/>
      <w:lvlText w:val="•"/>
      <w:lvlJc w:val="left"/>
      <w:pPr>
        <w:ind w:left="6168" w:hanging="323"/>
      </w:pPr>
      <w:rPr>
        <w:rFonts w:hint="default"/>
        <w:lang w:val="en-US" w:eastAsia="en-US" w:bidi="en-US"/>
      </w:rPr>
    </w:lvl>
    <w:lvl w:ilvl="7" w:tplc="55703F2A">
      <w:numFmt w:val="bullet"/>
      <w:lvlText w:val="•"/>
      <w:lvlJc w:val="left"/>
      <w:pPr>
        <w:ind w:left="7176" w:hanging="323"/>
      </w:pPr>
      <w:rPr>
        <w:rFonts w:hint="default"/>
        <w:lang w:val="en-US" w:eastAsia="en-US" w:bidi="en-US"/>
      </w:rPr>
    </w:lvl>
    <w:lvl w:ilvl="8" w:tplc="8070C43E">
      <w:numFmt w:val="bullet"/>
      <w:lvlText w:val="•"/>
      <w:lvlJc w:val="left"/>
      <w:pPr>
        <w:ind w:left="8184" w:hanging="323"/>
      </w:pPr>
      <w:rPr>
        <w:rFonts w:hint="default"/>
        <w:lang w:val="en-US" w:eastAsia="en-US" w:bidi="en-US"/>
      </w:rPr>
    </w:lvl>
  </w:abstractNum>
  <w:abstractNum w:abstractNumId="3" w15:restartNumberingAfterBreak="0">
    <w:nsid w:val="0EB56C11"/>
    <w:multiLevelType w:val="hybridMultilevel"/>
    <w:tmpl w:val="20409D06"/>
    <w:lvl w:ilvl="0" w:tplc="8AF2D992">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37041BFA">
      <w:numFmt w:val="bullet"/>
      <w:lvlText w:val="•"/>
      <w:lvlJc w:val="left"/>
      <w:pPr>
        <w:ind w:left="1323" w:hanging="567"/>
      </w:pPr>
      <w:rPr>
        <w:rFonts w:hint="default"/>
        <w:lang w:val="en-US" w:eastAsia="en-US" w:bidi="en-US"/>
      </w:rPr>
    </w:lvl>
    <w:lvl w:ilvl="2" w:tplc="B2EEDB46">
      <w:numFmt w:val="bullet"/>
      <w:lvlText w:val="•"/>
      <w:lvlJc w:val="left"/>
      <w:pPr>
        <w:ind w:left="1966" w:hanging="567"/>
      </w:pPr>
      <w:rPr>
        <w:rFonts w:hint="default"/>
        <w:lang w:val="en-US" w:eastAsia="en-US" w:bidi="en-US"/>
      </w:rPr>
    </w:lvl>
    <w:lvl w:ilvl="3" w:tplc="C41CF794">
      <w:numFmt w:val="bullet"/>
      <w:lvlText w:val="•"/>
      <w:lvlJc w:val="left"/>
      <w:pPr>
        <w:ind w:left="2609" w:hanging="567"/>
      </w:pPr>
      <w:rPr>
        <w:rFonts w:hint="default"/>
        <w:lang w:val="en-US" w:eastAsia="en-US" w:bidi="en-US"/>
      </w:rPr>
    </w:lvl>
    <w:lvl w:ilvl="4" w:tplc="97BC7212">
      <w:numFmt w:val="bullet"/>
      <w:lvlText w:val="•"/>
      <w:lvlJc w:val="left"/>
      <w:pPr>
        <w:ind w:left="3252" w:hanging="567"/>
      </w:pPr>
      <w:rPr>
        <w:rFonts w:hint="default"/>
        <w:lang w:val="en-US" w:eastAsia="en-US" w:bidi="en-US"/>
      </w:rPr>
    </w:lvl>
    <w:lvl w:ilvl="5" w:tplc="86CEFEB0">
      <w:numFmt w:val="bullet"/>
      <w:lvlText w:val="•"/>
      <w:lvlJc w:val="left"/>
      <w:pPr>
        <w:ind w:left="3895" w:hanging="567"/>
      </w:pPr>
      <w:rPr>
        <w:rFonts w:hint="default"/>
        <w:lang w:val="en-US" w:eastAsia="en-US" w:bidi="en-US"/>
      </w:rPr>
    </w:lvl>
    <w:lvl w:ilvl="6" w:tplc="4934ABF6">
      <w:numFmt w:val="bullet"/>
      <w:lvlText w:val="•"/>
      <w:lvlJc w:val="left"/>
      <w:pPr>
        <w:ind w:left="4538" w:hanging="567"/>
      </w:pPr>
      <w:rPr>
        <w:rFonts w:hint="default"/>
        <w:lang w:val="en-US" w:eastAsia="en-US" w:bidi="en-US"/>
      </w:rPr>
    </w:lvl>
    <w:lvl w:ilvl="7" w:tplc="6FEC51B6">
      <w:numFmt w:val="bullet"/>
      <w:lvlText w:val="•"/>
      <w:lvlJc w:val="left"/>
      <w:pPr>
        <w:ind w:left="5181" w:hanging="567"/>
      </w:pPr>
      <w:rPr>
        <w:rFonts w:hint="default"/>
        <w:lang w:val="en-US" w:eastAsia="en-US" w:bidi="en-US"/>
      </w:rPr>
    </w:lvl>
    <w:lvl w:ilvl="8" w:tplc="1B6E8A10">
      <w:numFmt w:val="bullet"/>
      <w:lvlText w:val="•"/>
      <w:lvlJc w:val="left"/>
      <w:pPr>
        <w:ind w:left="5824" w:hanging="567"/>
      </w:pPr>
      <w:rPr>
        <w:rFonts w:hint="default"/>
        <w:lang w:val="en-US" w:eastAsia="en-US" w:bidi="en-US"/>
      </w:rPr>
    </w:lvl>
  </w:abstractNum>
  <w:abstractNum w:abstractNumId="4" w15:restartNumberingAfterBreak="0">
    <w:nsid w:val="115651A2"/>
    <w:multiLevelType w:val="hybridMultilevel"/>
    <w:tmpl w:val="0578205E"/>
    <w:lvl w:ilvl="0" w:tplc="3FC02438">
      <w:start w:val="1"/>
      <w:numFmt w:val="decimal"/>
      <w:lvlText w:val="%1."/>
      <w:lvlJc w:val="left"/>
      <w:pPr>
        <w:ind w:left="471" w:hanging="360"/>
      </w:pPr>
      <w:rPr>
        <w:rFonts w:ascii="Arial" w:eastAsia="Arial" w:hAnsi="Arial" w:cs="Arial" w:hint="default"/>
        <w:color w:val="57585B"/>
        <w:spacing w:val="-15"/>
        <w:w w:val="100"/>
        <w:sz w:val="18"/>
        <w:szCs w:val="18"/>
        <w:lang w:val="en-US" w:eastAsia="en-US" w:bidi="en-US"/>
      </w:rPr>
    </w:lvl>
    <w:lvl w:ilvl="1" w:tplc="EE105A5A">
      <w:numFmt w:val="bullet"/>
      <w:lvlText w:val="•"/>
      <w:lvlJc w:val="left"/>
      <w:pPr>
        <w:ind w:left="1143" w:hanging="360"/>
      </w:pPr>
      <w:rPr>
        <w:rFonts w:hint="default"/>
        <w:lang w:val="en-US" w:eastAsia="en-US" w:bidi="en-US"/>
      </w:rPr>
    </w:lvl>
    <w:lvl w:ilvl="2" w:tplc="C11C0A3C">
      <w:numFmt w:val="bullet"/>
      <w:lvlText w:val="•"/>
      <w:lvlJc w:val="left"/>
      <w:pPr>
        <w:ind w:left="1806" w:hanging="360"/>
      </w:pPr>
      <w:rPr>
        <w:rFonts w:hint="default"/>
        <w:lang w:val="en-US" w:eastAsia="en-US" w:bidi="en-US"/>
      </w:rPr>
    </w:lvl>
    <w:lvl w:ilvl="3" w:tplc="104A5374">
      <w:numFmt w:val="bullet"/>
      <w:lvlText w:val="•"/>
      <w:lvlJc w:val="left"/>
      <w:pPr>
        <w:ind w:left="2469" w:hanging="360"/>
      </w:pPr>
      <w:rPr>
        <w:rFonts w:hint="default"/>
        <w:lang w:val="en-US" w:eastAsia="en-US" w:bidi="en-US"/>
      </w:rPr>
    </w:lvl>
    <w:lvl w:ilvl="4" w:tplc="E9506A14">
      <w:numFmt w:val="bullet"/>
      <w:lvlText w:val="•"/>
      <w:lvlJc w:val="left"/>
      <w:pPr>
        <w:ind w:left="3132" w:hanging="360"/>
      </w:pPr>
      <w:rPr>
        <w:rFonts w:hint="default"/>
        <w:lang w:val="en-US" w:eastAsia="en-US" w:bidi="en-US"/>
      </w:rPr>
    </w:lvl>
    <w:lvl w:ilvl="5" w:tplc="F83CB496">
      <w:numFmt w:val="bullet"/>
      <w:lvlText w:val="•"/>
      <w:lvlJc w:val="left"/>
      <w:pPr>
        <w:ind w:left="3795" w:hanging="360"/>
      </w:pPr>
      <w:rPr>
        <w:rFonts w:hint="default"/>
        <w:lang w:val="en-US" w:eastAsia="en-US" w:bidi="en-US"/>
      </w:rPr>
    </w:lvl>
    <w:lvl w:ilvl="6" w:tplc="5366F1F8">
      <w:numFmt w:val="bullet"/>
      <w:lvlText w:val="•"/>
      <w:lvlJc w:val="left"/>
      <w:pPr>
        <w:ind w:left="4458" w:hanging="360"/>
      </w:pPr>
      <w:rPr>
        <w:rFonts w:hint="default"/>
        <w:lang w:val="en-US" w:eastAsia="en-US" w:bidi="en-US"/>
      </w:rPr>
    </w:lvl>
    <w:lvl w:ilvl="7" w:tplc="6A501DDC">
      <w:numFmt w:val="bullet"/>
      <w:lvlText w:val="•"/>
      <w:lvlJc w:val="left"/>
      <w:pPr>
        <w:ind w:left="5121" w:hanging="360"/>
      </w:pPr>
      <w:rPr>
        <w:rFonts w:hint="default"/>
        <w:lang w:val="en-US" w:eastAsia="en-US" w:bidi="en-US"/>
      </w:rPr>
    </w:lvl>
    <w:lvl w:ilvl="8" w:tplc="C5D2AFE8">
      <w:numFmt w:val="bullet"/>
      <w:lvlText w:val="•"/>
      <w:lvlJc w:val="left"/>
      <w:pPr>
        <w:ind w:left="5784" w:hanging="360"/>
      </w:pPr>
      <w:rPr>
        <w:rFonts w:hint="default"/>
        <w:lang w:val="en-US" w:eastAsia="en-US" w:bidi="en-US"/>
      </w:rPr>
    </w:lvl>
  </w:abstractNum>
  <w:abstractNum w:abstractNumId="5" w15:restartNumberingAfterBreak="0">
    <w:nsid w:val="1BA0790B"/>
    <w:multiLevelType w:val="hybridMultilevel"/>
    <w:tmpl w:val="E4CE3FA8"/>
    <w:lvl w:ilvl="0" w:tplc="676C3550">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90F444D4">
      <w:numFmt w:val="bullet"/>
      <w:lvlText w:val="•"/>
      <w:lvlJc w:val="left"/>
      <w:pPr>
        <w:ind w:left="1026" w:hanging="284"/>
      </w:pPr>
      <w:rPr>
        <w:rFonts w:hint="default"/>
        <w:lang w:val="en-US" w:eastAsia="en-US" w:bidi="en-US"/>
      </w:rPr>
    </w:lvl>
    <w:lvl w:ilvl="2" w:tplc="D80827AA">
      <w:numFmt w:val="bullet"/>
      <w:lvlText w:val="•"/>
      <w:lvlJc w:val="left"/>
      <w:pPr>
        <w:ind w:left="1652" w:hanging="284"/>
      </w:pPr>
      <w:rPr>
        <w:rFonts w:hint="default"/>
        <w:lang w:val="en-US" w:eastAsia="en-US" w:bidi="en-US"/>
      </w:rPr>
    </w:lvl>
    <w:lvl w:ilvl="3" w:tplc="267E169E">
      <w:numFmt w:val="bullet"/>
      <w:lvlText w:val="•"/>
      <w:lvlJc w:val="left"/>
      <w:pPr>
        <w:ind w:left="2278" w:hanging="284"/>
      </w:pPr>
      <w:rPr>
        <w:rFonts w:hint="default"/>
        <w:lang w:val="en-US" w:eastAsia="en-US" w:bidi="en-US"/>
      </w:rPr>
    </w:lvl>
    <w:lvl w:ilvl="4" w:tplc="13CE0540">
      <w:numFmt w:val="bullet"/>
      <w:lvlText w:val="•"/>
      <w:lvlJc w:val="left"/>
      <w:pPr>
        <w:ind w:left="2904" w:hanging="284"/>
      </w:pPr>
      <w:rPr>
        <w:rFonts w:hint="default"/>
        <w:lang w:val="en-US" w:eastAsia="en-US" w:bidi="en-US"/>
      </w:rPr>
    </w:lvl>
    <w:lvl w:ilvl="5" w:tplc="E8B87E86">
      <w:numFmt w:val="bullet"/>
      <w:lvlText w:val="•"/>
      <w:lvlJc w:val="left"/>
      <w:pPr>
        <w:ind w:left="3530" w:hanging="284"/>
      </w:pPr>
      <w:rPr>
        <w:rFonts w:hint="default"/>
        <w:lang w:val="en-US" w:eastAsia="en-US" w:bidi="en-US"/>
      </w:rPr>
    </w:lvl>
    <w:lvl w:ilvl="6" w:tplc="7C0EAFEA">
      <w:numFmt w:val="bullet"/>
      <w:lvlText w:val="•"/>
      <w:lvlJc w:val="left"/>
      <w:pPr>
        <w:ind w:left="4156" w:hanging="284"/>
      </w:pPr>
      <w:rPr>
        <w:rFonts w:hint="default"/>
        <w:lang w:val="en-US" w:eastAsia="en-US" w:bidi="en-US"/>
      </w:rPr>
    </w:lvl>
    <w:lvl w:ilvl="7" w:tplc="3F005666">
      <w:numFmt w:val="bullet"/>
      <w:lvlText w:val="•"/>
      <w:lvlJc w:val="left"/>
      <w:pPr>
        <w:ind w:left="4782" w:hanging="284"/>
      </w:pPr>
      <w:rPr>
        <w:rFonts w:hint="default"/>
        <w:lang w:val="en-US" w:eastAsia="en-US" w:bidi="en-US"/>
      </w:rPr>
    </w:lvl>
    <w:lvl w:ilvl="8" w:tplc="F52EA74C">
      <w:numFmt w:val="bullet"/>
      <w:lvlText w:val="•"/>
      <w:lvlJc w:val="left"/>
      <w:pPr>
        <w:ind w:left="5408" w:hanging="284"/>
      </w:pPr>
      <w:rPr>
        <w:rFonts w:hint="default"/>
        <w:lang w:val="en-US" w:eastAsia="en-US" w:bidi="en-US"/>
      </w:rPr>
    </w:lvl>
  </w:abstractNum>
  <w:abstractNum w:abstractNumId="6" w15:restartNumberingAfterBreak="0">
    <w:nsid w:val="1E3F11A6"/>
    <w:multiLevelType w:val="hybridMultilevel"/>
    <w:tmpl w:val="A2C29694"/>
    <w:lvl w:ilvl="0" w:tplc="364C4BAA">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1B8E62F6">
      <w:numFmt w:val="bullet"/>
      <w:lvlText w:val="•"/>
      <w:lvlJc w:val="left"/>
      <w:pPr>
        <w:ind w:left="1026" w:hanging="284"/>
      </w:pPr>
      <w:rPr>
        <w:rFonts w:hint="default"/>
        <w:lang w:val="en-US" w:eastAsia="en-US" w:bidi="en-US"/>
      </w:rPr>
    </w:lvl>
    <w:lvl w:ilvl="2" w:tplc="E29875B0">
      <w:numFmt w:val="bullet"/>
      <w:lvlText w:val="•"/>
      <w:lvlJc w:val="left"/>
      <w:pPr>
        <w:ind w:left="1652" w:hanging="284"/>
      </w:pPr>
      <w:rPr>
        <w:rFonts w:hint="default"/>
        <w:lang w:val="en-US" w:eastAsia="en-US" w:bidi="en-US"/>
      </w:rPr>
    </w:lvl>
    <w:lvl w:ilvl="3" w:tplc="3B3CE61C">
      <w:numFmt w:val="bullet"/>
      <w:lvlText w:val="•"/>
      <w:lvlJc w:val="left"/>
      <w:pPr>
        <w:ind w:left="2278" w:hanging="284"/>
      </w:pPr>
      <w:rPr>
        <w:rFonts w:hint="default"/>
        <w:lang w:val="en-US" w:eastAsia="en-US" w:bidi="en-US"/>
      </w:rPr>
    </w:lvl>
    <w:lvl w:ilvl="4" w:tplc="47F05182">
      <w:numFmt w:val="bullet"/>
      <w:lvlText w:val="•"/>
      <w:lvlJc w:val="left"/>
      <w:pPr>
        <w:ind w:left="2904" w:hanging="284"/>
      </w:pPr>
      <w:rPr>
        <w:rFonts w:hint="default"/>
        <w:lang w:val="en-US" w:eastAsia="en-US" w:bidi="en-US"/>
      </w:rPr>
    </w:lvl>
    <w:lvl w:ilvl="5" w:tplc="6D1E8588">
      <w:numFmt w:val="bullet"/>
      <w:lvlText w:val="•"/>
      <w:lvlJc w:val="left"/>
      <w:pPr>
        <w:ind w:left="3530" w:hanging="284"/>
      </w:pPr>
      <w:rPr>
        <w:rFonts w:hint="default"/>
        <w:lang w:val="en-US" w:eastAsia="en-US" w:bidi="en-US"/>
      </w:rPr>
    </w:lvl>
    <w:lvl w:ilvl="6" w:tplc="3B0A685C">
      <w:numFmt w:val="bullet"/>
      <w:lvlText w:val="•"/>
      <w:lvlJc w:val="left"/>
      <w:pPr>
        <w:ind w:left="4156" w:hanging="284"/>
      </w:pPr>
      <w:rPr>
        <w:rFonts w:hint="default"/>
        <w:lang w:val="en-US" w:eastAsia="en-US" w:bidi="en-US"/>
      </w:rPr>
    </w:lvl>
    <w:lvl w:ilvl="7" w:tplc="050E3460">
      <w:numFmt w:val="bullet"/>
      <w:lvlText w:val="•"/>
      <w:lvlJc w:val="left"/>
      <w:pPr>
        <w:ind w:left="4782" w:hanging="284"/>
      </w:pPr>
      <w:rPr>
        <w:rFonts w:hint="default"/>
        <w:lang w:val="en-US" w:eastAsia="en-US" w:bidi="en-US"/>
      </w:rPr>
    </w:lvl>
    <w:lvl w:ilvl="8" w:tplc="D0F043B4">
      <w:numFmt w:val="bullet"/>
      <w:lvlText w:val="•"/>
      <w:lvlJc w:val="left"/>
      <w:pPr>
        <w:ind w:left="5408" w:hanging="284"/>
      </w:pPr>
      <w:rPr>
        <w:rFonts w:hint="default"/>
        <w:lang w:val="en-US" w:eastAsia="en-US" w:bidi="en-US"/>
      </w:rPr>
    </w:lvl>
  </w:abstractNum>
  <w:abstractNum w:abstractNumId="7" w15:restartNumberingAfterBreak="0">
    <w:nsid w:val="37FE4D7F"/>
    <w:multiLevelType w:val="hybridMultilevel"/>
    <w:tmpl w:val="736A3632"/>
    <w:lvl w:ilvl="0" w:tplc="7DDE478C">
      <w:numFmt w:val="bullet"/>
      <w:lvlText w:val="•"/>
      <w:lvlJc w:val="left"/>
      <w:pPr>
        <w:ind w:left="471" w:hanging="360"/>
      </w:pPr>
      <w:rPr>
        <w:rFonts w:ascii="Arial" w:eastAsia="Arial" w:hAnsi="Arial" w:cs="Arial" w:hint="default"/>
        <w:color w:val="57585B"/>
        <w:spacing w:val="-8"/>
        <w:w w:val="100"/>
        <w:sz w:val="18"/>
        <w:szCs w:val="18"/>
        <w:lang w:val="en-US" w:eastAsia="en-US" w:bidi="en-US"/>
      </w:rPr>
    </w:lvl>
    <w:lvl w:ilvl="1" w:tplc="2912E92A">
      <w:numFmt w:val="bullet"/>
      <w:lvlText w:val="•"/>
      <w:lvlJc w:val="left"/>
      <w:pPr>
        <w:ind w:left="1143" w:hanging="360"/>
      </w:pPr>
      <w:rPr>
        <w:rFonts w:hint="default"/>
        <w:lang w:val="en-US" w:eastAsia="en-US" w:bidi="en-US"/>
      </w:rPr>
    </w:lvl>
    <w:lvl w:ilvl="2" w:tplc="B406D628">
      <w:numFmt w:val="bullet"/>
      <w:lvlText w:val="•"/>
      <w:lvlJc w:val="left"/>
      <w:pPr>
        <w:ind w:left="1806" w:hanging="360"/>
      </w:pPr>
      <w:rPr>
        <w:rFonts w:hint="default"/>
        <w:lang w:val="en-US" w:eastAsia="en-US" w:bidi="en-US"/>
      </w:rPr>
    </w:lvl>
    <w:lvl w:ilvl="3" w:tplc="75AEF288">
      <w:numFmt w:val="bullet"/>
      <w:lvlText w:val="•"/>
      <w:lvlJc w:val="left"/>
      <w:pPr>
        <w:ind w:left="2469" w:hanging="360"/>
      </w:pPr>
      <w:rPr>
        <w:rFonts w:hint="default"/>
        <w:lang w:val="en-US" w:eastAsia="en-US" w:bidi="en-US"/>
      </w:rPr>
    </w:lvl>
    <w:lvl w:ilvl="4" w:tplc="F3AC9990">
      <w:numFmt w:val="bullet"/>
      <w:lvlText w:val="•"/>
      <w:lvlJc w:val="left"/>
      <w:pPr>
        <w:ind w:left="3132" w:hanging="360"/>
      </w:pPr>
      <w:rPr>
        <w:rFonts w:hint="default"/>
        <w:lang w:val="en-US" w:eastAsia="en-US" w:bidi="en-US"/>
      </w:rPr>
    </w:lvl>
    <w:lvl w:ilvl="5" w:tplc="9F7288D0">
      <w:numFmt w:val="bullet"/>
      <w:lvlText w:val="•"/>
      <w:lvlJc w:val="left"/>
      <w:pPr>
        <w:ind w:left="3795" w:hanging="360"/>
      </w:pPr>
      <w:rPr>
        <w:rFonts w:hint="default"/>
        <w:lang w:val="en-US" w:eastAsia="en-US" w:bidi="en-US"/>
      </w:rPr>
    </w:lvl>
    <w:lvl w:ilvl="6" w:tplc="1E5C3A0E">
      <w:numFmt w:val="bullet"/>
      <w:lvlText w:val="•"/>
      <w:lvlJc w:val="left"/>
      <w:pPr>
        <w:ind w:left="4458" w:hanging="360"/>
      </w:pPr>
      <w:rPr>
        <w:rFonts w:hint="default"/>
        <w:lang w:val="en-US" w:eastAsia="en-US" w:bidi="en-US"/>
      </w:rPr>
    </w:lvl>
    <w:lvl w:ilvl="7" w:tplc="8366854E">
      <w:numFmt w:val="bullet"/>
      <w:lvlText w:val="•"/>
      <w:lvlJc w:val="left"/>
      <w:pPr>
        <w:ind w:left="5121" w:hanging="360"/>
      </w:pPr>
      <w:rPr>
        <w:rFonts w:hint="default"/>
        <w:lang w:val="en-US" w:eastAsia="en-US" w:bidi="en-US"/>
      </w:rPr>
    </w:lvl>
    <w:lvl w:ilvl="8" w:tplc="828A5C9A">
      <w:numFmt w:val="bullet"/>
      <w:lvlText w:val="•"/>
      <w:lvlJc w:val="left"/>
      <w:pPr>
        <w:ind w:left="5784" w:hanging="360"/>
      </w:pPr>
      <w:rPr>
        <w:rFonts w:hint="default"/>
        <w:lang w:val="en-US" w:eastAsia="en-US" w:bidi="en-US"/>
      </w:rPr>
    </w:lvl>
  </w:abstractNum>
  <w:abstractNum w:abstractNumId="8" w15:restartNumberingAfterBreak="0">
    <w:nsid w:val="3CE01EB1"/>
    <w:multiLevelType w:val="hybridMultilevel"/>
    <w:tmpl w:val="587CF166"/>
    <w:lvl w:ilvl="0" w:tplc="7760FED2">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8B14F6B2">
      <w:numFmt w:val="bullet"/>
      <w:lvlText w:val="•"/>
      <w:lvlJc w:val="left"/>
      <w:pPr>
        <w:ind w:left="1026" w:hanging="284"/>
      </w:pPr>
      <w:rPr>
        <w:rFonts w:hint="default"/>
        <w:lang w:val="en-US" w:eastAsia="en-US" w:bidi="en-US"/>
      </w:rPr>
    </w:lvl>
    <w:lvl w:ilvl="2" w:tplc="C6E85366">
      <w:numFmt w:val="bullet"/>
      <w:lvlText w:val="•"/>
      <w:lvlJc w:val="left"/>
      <w:pPr>
        <w:ind w:left="1652" w:hanging="284"/>
      </w:pPr>
      <w:rPr>
        <w:rFonts w:hint="default"/>
        <w:lang w:val="en-US" w:eastAsia="en-US" w:bidi="en-US"/>
      </w:rPr>
    </w:lvl>
    <w:lvl w:ilvl="3" w:tplc="F2369528">
      <w:numFmt w:val="bullet"/>
      <w:lvlText w:val="•"/>
      <w:lvlJc w:val="left"/>
      <w:pPr>
        <w:ind w:left="2278" w:hanging="284"/>
      </w:pPr>
      <w:rPr>
        <w:rFonts w:hint="default"/>
        <w:lang w:val="en-US" w:eastAsia="en-US" w:bidi="en-US"/>
      </w:rPr>
    </w:lvl>
    <w:lvl w:ilvl="4" w:tplc="CE2E76DC">
      <w:numFmt w:val="bullet"/>
      <w:lvlText w:val="•"/>
      <w:lvlJc w:val="left"/>
      <w:pPr>
        <w:ind w:left="2904" w:hanging="284"/>
      </w:pPr>
      <w:rPr>
        <w:rFonts w:hint="default"/>
        <w:lang w:val="en-US" w:eastAsia="en-US" w:bidi="en-US"/>
      </w:rPr>
    </w:lvl>
    <w:lvl w:ilvl="5" w:tplc="44C47616">
      <w:numFmt w:val="bullet"/>
      <w:lvlText w:val="•"/>
      <w:lvlJc w:val="left"/>
      <w:pPr>
        <w:ind w:left="3530" w:hanging="284"/>
      </w:pPr>
      <w:rPr>
        <w:rFonts w:hint="default"/>
        <w:lang w:val="en-US" w:eastAsia="en-US" w:bidi="en-US"/>
      </w:rPr>
    </w:lvl>
    <w:lvl w:ilvl="6" w:tplc="95E84B1C">
      <w:numFmt w:val="bullet"/>
      <w:lvlText w:val="•"/>
      <w:lvlJc w:val="left"/>
      <w:pPr>
        <w:ind w:left="4156" w:hanging="284"/>
      </w:pPr>
      <w:rPr>
        <w:rFonts w:hint="default"/>
        <w:lang w:val="en-US" w:eastAsia="en-US" w:bidi="en-US"/>
      </w:rPr>
    </w:lvl>
    <w:lvl w:ilvl="7" w:tplc="D7DCD24C">
      <w:numFmt w:val="bullet"/>
      <w:lvlText w:val="•"/>
      <w:lvlJc w:val="left"/>
      <w:pPr>
        <w:ind w:left="4782" w:hanging="284"/>
      </w:pPr>
      <w:rPr>
        <w:rFonts w:hint="default"/>
        <w:lang w:val="en-US" w:eastAsia="en-US" w:bidi="en-US"/>
      </w:rPr>
    </w:lvl>
    <w:lvl w:ilvl="8" w:tplc="35067F76">
      <w:numFmt w:val="bullet"/>
      <w:lvlText w:val="•"/>
      <w:lvlJc w:val="left"/>
      <w:pPr>
        <w:ind w:left="5408" w:hanging="284"/>
      </w:pPr>
      <w:rPr>
        <w:rFonts w:hint="default"/>
        <w:lang w:val="en-US" w:eastAsia="en-US" w:bidi="en-US"/>
      </w:rPr>
    </w:lvl>
  </w:abstractNum>
  <w:abstractNum w:abstractNumId="9" w15:restartNumberingAfterBreak="0">
    <w:nsid w:val="45F63502"/>
    <w:multiLevelType w:val="hybridMultilevel"/>
    <w:tmpl w:val="7D8CF932"/>
    <w:lvl w:ilvl="0" w:tplc="7732270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8EA4B272">
      <w:numFmt w:val="bullet"/>
      <w:lvlText w:val="•"/>
      <w:lvlJc w:val="left"/>
      <w:pPr>
        <w:ind w:left="1026" w:hanging="284"/>
      </w:pPr>
      <w:rPr>
        <w:rFonts w:hint="default"/>
        <w:lang w:val="en-US" w:eastAsia="en-US" w:bidi="en-US"/>
      </w:rPr>
    </w:lvl>
    <w:lvl w:ilvl="2" w:tplc="72EC3ED8">
      <w:numFmt w:val="bullet"/>
      <w:lvlText w:val="•"/>
      <w:lvlJc w:val="left"/>
      <w:pPr>
        <w:ind w:left="1652" w:hanging="284"/>
      </w:pPr>
      <w:rPr>
        <w:rFonts w:hint="default"/>
        <w:lang w:val="en-US" w:eastAsia="en-US" w:bidi="en-US"/>
      </w:rPr>
    </w:lvl>
    <w:lvl w:ilvl="3" w:tplc="3550C132">
      <w:numFmt w:val="bullet"/>
      <w:lvlText w:val="•"/>
      <w:lvlJc w:val="left"/>
      <w:pPr>
        <w:ind w:left="2278" w:hanging="284"/>
      </w:pPr>
      <w:rPr>
        <w:rFonts w:hint="default"/>
        <w:lang w:val="en-US" w:eastAsia="en-US" w:bidi="en-US"/>
      </w:rPr>
    </w:lvl>
    <w:lvl w:ilvl="4" w:tplc="3E6E6594">
      <w:numFmt w:val="bullet"/>
      <w:lvlText w:val="•"/>
      <w:lvlJc w:val="left"/>
      <w:pPr>
        <w:ind w:left="2904" w:hanging="284"/>
      </w:pPr>
      <w:rPr>
        <w:rFonts w:hint="default"/>
        <w:lang w:val="en-US" w:eastAsia="en-US" w:bidi="en-US"/>
      </w:rPr>
    </w:lvl>
    <w:lvl w:ilvl="5" w:tplc="454E142A">
      <w:numFmt w:val="bullet"/>
      <w:lvlText w:val="•"/>
      <w:lvlJc w:val="left"/>
      <w:pPr>
        <w:ind w:left="3530" w:hanging="284"/>
      </w:pPr>
      <w:rPr>
        <w:rFonts w:hint="default"/>
        <w:lang w:val="en-US" w:eastAsia="en-US" w:bidi="en-US"/>
      </w:rPr>
    </w:lvl>
    <w:lvl w:ilvl="6" w:tplc="0BFC3532">
      <w:numFmt w:val="bullet"/>
      <w:lvlText w:val="•"/>
      <w:lvlJc w:val="left"/>
      <w:pPr>
        <w:ind w:left="4156" w:hanging="284"/>
      </w:pPr>
      <w:rPr>
        <w:rFonts w:hint="default"/>
        <w:lang w:val="en-US" w:eastAsia="en-US" w:bidi="en-US"/>
      </w:rPr>
    </w:lvl>
    <w:lvl w:ilvl="7" w:tplc="4BCEB02C">
      <w:numFmt w:val="bullet"/>
      <w:lvlText w:val="•"/>
      <w:lvlJc w:val="left"/>
      <w:pPr>
        <w:ind w:left="4782" w:hanging="284"/>
      </w:pPr>
      <w:rPr>
        <w:rFonts w:hint="default"/>
        <w:lang w:val="en-US" w:eastAsia="en-US" w:bidi="en-US"/>
      </w:rPr>
    </w:lvl>
    <w:lvl w:ilvl="8" w:tplc="22CC6EAA">
      <w:numFmt w:val="bullet"/>
      <w:lvlText w:val="•"/>
      <w:lvlJc w:val="left"/>
      <w:pPr>
        <w:ind w:left="5408" w:hanging="284"/>
      </w:pPr>
      <w:rPr>
        <w:rFonts w:hint="default"/>
        <w:lang w:val="en-US" w:eastAsia="en-US" w:bidi="en-US"/>
      </w:rPr>
    </w:lvl>
  </w:abstractNum>
  <w:abstractNum w:abstractNumId="10" w15:restartNumberingAfterBreak="0">
    <w:nsid w:val="4D0872F7"/>
    <w:multiLevelType w:val="hybridMultilevel"/>
    <w:tmpl w:val="8EEA1EAE"/>
    <w:lvl w:ilvl="0" w:tplc="6C2AF43A">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D60AFB04">
      <w:numFmt w:val="bullet"/>
      <w:lvlText w:val="•"/>
      <w:lvlJc w:val="left"/>
      <w:pPr>
        <w:ind w:left="1026" w:hanging="284"/>
      </w:pPr>
      <w:rPr>
        <w:rFonts w:hint="default"/>
        <w:lang w:val="en-US" w:eastAsia="en-US" w:bidi="en-US"/>
      </w:rPr>
    </w:lvl>
    <w:lvl w:ilvl="2" w:tplc="7040B4A0">
      <w:numFmt w:val="bullet"/>
      <w:lvlText w:val="•"/>
      <w:lvlJc w:val="left"/>
      <w:pPr>
        <w:ind w:left="1652" w:hanging="284"/>
      </w:pPr>
      <w:rPr>
        <w:rFonts w:hint="default"/>
        <w:lang w:val="en-US" w:eastAsia="en-US" w:bidi="en-US"/>
      </w:rPr>
    </w:lvl>
    <w:lvl w:ilvl="3" w:tplc="0438425A">
      <w:numFmt w:val="bullet"/>
      <w:lvlText w:val="•"/>
      <w:lvlJc w:val="left"/>
      <w:pPr>
        <w:ind w:left="2278" w:hanging="284"/>
      </w:pPr>
      <w:rPr>
        <w:rFonts w:hint="default"/>
        <w:lang w:val="en-US" w:eastAsia="en-US" w:bidi="en-US"/>
      </w:rPr>
    </w:lvl>
    <w:lvl w:ilvl="4" w:tplc="F3EE8770">
      <w:numFmt w:val="bullet"/>
      <w:lvlText w:val="•"/>
      <w:lvlJc w:val="left"/>
      <w:pPr>
        <w:ind w:left="2904" w:hanging="284"/>
      </w:pPr>
      <w:rPr>
        <w:rFonts w:hint="default"/>
        <w:lang w:val="en-US" w:eastAsia="en-US" w:bidi="en-US"/>
      </w:rPr>
    </w:lvl>
    <w:lvl w:ilvl="5" w:tplc="4210E712">
      <w:numFmt w:val="bullet"/>
      <w:lvlText w:val="•"/>
      <w:lvlJc w:val="left"/>
      <w:pPr>
        <w:ind w:left="3530" w:hanging="284"/>
      </w:pPr>
      <w:rPr>
        <w:rFonts w:hint="default"/>
        <w:lang w:val="en-US" w:eastAsia="en-US" w:bidi="en-US"/>
      </w:rPr>
    </w:lvl>
    <w:lvl w:ilvl="6" w:tplc="42541BA8">
      <w:numFmt w:val="bullet"/>
      <w:lvlText w:val="•"/>
      <w:lvlJc w:val="left"/>
      <w:pPr>
        <w:ind w:left="4156" w:hanging="284"/>
      </w:pPr>
      <w:rPr>
        <w:rFonts w:hint="default"/>
        <w:lang w:val="en-US" w:eastAsia="en-US" w:bidi="en-US"/>
      </w:rPr>
    </w:lvl>
    <w:lvl w:ilvl="7" w:tplc="5C36DCCA">
      <w:numFmt w:val="bullet"/>
      <w:lvlText w:val="•"/>
      <w:lvlJc w:val="left"/>
      <w:pPr>
        <w:ind w:left="4782" w:hanging="284"/>
      </w:pPr>
      <w:rPr>
        <w:rFonts w:hint="default"/>
        <w:lang w:val="en-US" w:eastAsia="en-US" w:bidi="en-US"/>
      </w:rPr>
    </w:lvl>
    <w:lvl w:ilvl="8" w:tplc="D9A4EF5E">
      <w:numFmt w:val="bullet"/>
      <w:lvlText w:val="•"/>
      <w:lvlJc w:val="left"/>
      <w:pPr>
        <w:ind w:left="5408" w:hanging="284"/>
      </w:pPr>
      <w:rPr>
        <w:rFonts w:hint="default"/>
        <w:lang w:val="en-US" w:eastAsia="en-US" w:bidi="en-US"/>
      </w:rPr>
    </w:lvl>
  </w:abstractNum>
  <w:abstractNum w:abstractNumId="11" w15:restartNumberingAfterBreak="0">
    <w:nsid w:val="56293650"/>
    <w:multiLevelType w:val="hybridMultilevel"/>
    <w:tmpl w:val="D526BD22"/>
    <w:lvl w:ilvl="0" w:tplc="6168404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26CCE50C">
      <w:numFmt w:val="bullet"/>
      <w:lvlText w:val="•"/>
      <w:lvlJc w:val="left"/>
      <w:pPr>
        <w:ind w:left="1026" w:hanging="284"/>
      </w:pPr>
      <w:rPr>
        <w:rFonts w:hint="default"/>
        <w:lang w:val="en-US" w:eastAsia="en-US" w:bidi="en-US"/>
      </w:rPr>
    </w:lvl>
    <w:lvl w:ilvl="2" w:tplc="C200FDC6">
      <w:numFmt w:val="bullet"/>
      <w:lvlText w:val="•"/>
      <w:lvlJc w:val="left"/>
      <w:pPr>
        <w:ind w:left="1652" w:hanging="284"/>
      </w:pPr>
      <w:rPr>
        <w:rFonts w:hint="default"/>
        <w:lang w:val="en-US" w:eastAsia="en-US" w:bidi="en-US"/>
      </w:rPr>
    </w:lvl>
    <w:lvl w:ilvl="3" w:tplc="5784DACE">
      <w:numFmt w:val="bullet"/>
      <w:lvlText w:val="•"/>
      <w:lvlJc w:val="left"/>
      <w:pPr>
        <w:ind w:left="2278" w:hanging="284"/>
      </w:pPr>
      <w:rPr>
        <w:rFonts w:hint="default"/>
        <w:lang w:val="en-US" w:eastAsia="en-US" w:bidi="en-US"/>
      </w:rPr>
    </w:lvl>
    <w:lvl w:ilvl="4" w:tplc="A00086A4">
      <w:numFmt w:val="bullet"/>
      <w:lvlText w:val="•"/>
      <w:lvlJc w:val="left"/>
      <w:pPr>
        <w:ind w:left="2904" w:hanging="284"/>
      </w:pPr>
      <w:rPr>
        <w:rFonts w:hint="default"/>
        <w:lang w:val="en-US" w:eastAsia="en-US" w:bidi="en-US"/>
      </w:rPr>
    </w:lvl>
    <w:lvl w:ilvl="5" w:tplc="B50ACCEE">
      <w:numFmt w:val="bullet"/>
      <w:lvlText w:val="•"/>
      <w:lvlJc w:val="left"/>
      <w:pPr>
        <w:ind w:left="3530" w:hanging="284"/>
      </w:pPr>
      <w:rPr>
        <w:rFonts w:hint="default"/>
        <w:lang w:val="en-US" w:eastAsia="en-US" w:bidi="en-US"/>
      </w:rPr>
    </w:lvl>
    <w:lvl w:ilvl="6" w:tplc="3C5CF384">
      <w:numFmt w:val="bullet"/>
      <w:lvlText w:val="•"/>
      <w:lvlJc w:val="left"/>
      <w:pPr>
        <w:ind w:left="4156" w:hanging="284"/>
      </w:pPr>
      <w:rPr>
        <w:rFonts w:hint="default"/>
        <w:lang w:val="en-US" w:eastAsia="en-US" w:bidi="en-US"/>
      </w:rPr>
    </w:lvl>
    <w:lvl w:ilvl="7" w:tplc="9A3C8BAA">
      <w:numFmt w:val="bullet"/>
      <w:lvlText w:val="•"/>
      <w:lvlJc w:val="left"/>
      <w:pPr>
        <w:ind w:left="4782" w:hanging="284"/>
      </w:pPr>
      <w:rPr>
        <w:rFonts w:hint="default"/>
        <w:lang w:val="en-US" w:eastAsia="en-US" w:bidi="en-US"/>
      </w:rPr>
    </w:lvl>
    <w:lvl w:ilvl="8" w:tplc="9BF6A32E">
      <w:numFmt w:val="bullet"/>
      <w:lvlText w:val="•"/>
      <w:lvlJc w:val="left"/>
      <w:pPr>
        <w:ind w:left="5408" w:hanging="284"/>
      </w:pPr>
      <w:rPr>
        <w:rFonts w:hint="default"/>
        <w:lang w:val="en-US" w:eastAsia="en-US" w:bidi="en-US"/>
      </w:rPr>
    </w:lvl>
  </w:abstractNum>
  <w:abstractNum w:abstractNumId="12" w15:restartNumberingAfterBreak="0">
    <w:nsid w:val="59140C91"/>
    <w:multiLevelType w:val="hybridMultilevel"/>
    <w:tmpl w:val="9FF2B99A"/>
    <w:lvl w:ilvl="0" w:tplc="D972941E">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C748B88C">
      <w:numFmt w:val="bullet"/>
      <w:lvlText w:val="•"/>
      <w:lvlJc w:val="left"/>
      <w:pPr>
        <w:ind w:left="1323" w:hanging="567"/>
      </w:pPr>
      <w:rPr>
        <w:rFonts w:hint="default"/>
        <w:lang w:val="en-US" w:eastAsia="en-US" w:bidi="en-US"/>
      </w:rPr>
    </w:lvl>
    <w:lvl w:ilvl="2" w:tplc="89EE100E">
      <w:numFmt w:val="bullet"/>
      <w:lvlText w:val="•"/>
      <w:lvlJc w:val="left"/>
      <w:pPr>
        <w:ind w:left="1966" w:hanging="567"/>
      </w:pPr>
      <w:rPr>
        <w:rFonts w:hint="default"/>
        <w:lang w:val="en-US" w:eastAsia="en-US" w:bidi="en-US"/>
      </w:rPr>
    </w:lvl>
    <w:lvl w:ilvl="3" w:tplc="31560F92">
      <w:numFmt w:val="bullet"/>
      <w:lvlText w:val="•"/>
      <w:lvlJc w:val="left"/>
      <w:pPr>
        <w:ind w:left="2609" w:hanging="567"/>
      </w:pPr>
      <w:rPr>
        <w:rFonts w:hint="default"/>
        <w:lang w:val="en-US" w:eastAsia="en-US" w:bidi="en-US"/>
      </w:rPr>
    </w:lvl>
    <w:lvl w:ilvl="4" w:tplc="BFB40228">
      <w:numFmt w:val="bullet"/>
      <w:lvlText w:val="•"/>
      <w:lvlJc w:val="left"/>
      <w:pPr>
        <w:ind w:left="3252" w:hanging="567"/>
      </w:pPr>
      <w:rPr>
        <w:rFonts w:hint="default"/>
        <w:lang w:val="en-US" w:eastAsia="en-US" w:bidi="en-US"/>
      </w:rPr>
    </w:lvl>
    <w:lvl w:ilvl="5" w:tplc="35C04F08">
      <w:numFmt w:val="bullet"/>
      <w:lvlText w:val="•"/>
      <w:lvlJc w:val="left"/>
      <w:pPr>
        <w:ind w:left="3895" w:hanging="567"/>
      </w:pPr>
      <w:rPr>
        <w:rFonts w:hint="default"/>
        <w:lang w:val="en-US" w:eastAsia="en-US" w:bidi="en-US"/>
      </w:rPr>
    </w:lvl>
    <w:lvl w:ilvl="6" w:tplc="3FF2B01C">
      <w:numFmt w:val="bullet"/>
      <w:lvlText w:val="•"/>
      <w:lvlJc w:val="left"/>
      <w:pPr>
        <w:ind w:left="4538" w:hanging="567"/>
      </w:pPr>
      <w:rPr>
        <w:rFonts w:hint="default"/>
        <w:lang w:val="en-US" w:eastAsia="en-US" w:bidi="en-US"/>
      </w:rPr>
    </w:lvl>
    <w:lvl w:ilvl="7" w:tplc="B672C912">
      <w:numFmt w:val="bullet"/>
      <w:lvlText w:val="•"/>
      <w:lvlJc w:val="left"/>
      <w:pPr>
        <w:ind w:left="5181" w:hanging="567"/>
      </w:pPr>
      <w:rPr>
        <w:rFonts w:hint="default"/>
        <w:lang w:val="en-US" w:eastAsia="en-US" w:bidi="en-US"/>
      </w:rPr>
    </w:lvl>
    <w:lvl w:ilvl="8" w:tplc="6A8E61D0">
      <w:numFmt w:val="bullet"/>
      <w:lvlText w:val="•"/>
      <w:lvlJc w:val="left"/>
      <w:pPr>
        <w:ind w:left="5824" w:hanging="567"/>
      </w:pPr>
      <w:rPr>
        <w:rFonts w:hint="default"/>
        <w:lang w:val="en-US" w:eastAsia="en-US" w:bidi="en-US"/>
      </w:rPr>
    </w:lvl>
  </w:abstractNum>
  <w:abstractNum w:abstractNumId="13" w15:restartNumberingAfterBreak="0">
    <w:nsid w:val="5A4F55BE"/>
    <w:multiLevelType w:val="hybridMultilevel"/>
    <w:tmpl w:val="4DBE0618"/>
    <w:lvl w:ilvl="0" w:tplc="073AB3EA">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BFE2E20A">
      <w:numFmt w:val="bullet"/>
      <w:lvlText w:val="•"/>
      <w:lvlJc w:val="left"/>
      <w:pPr>
        <w:ind w:left="1026" w:hanging="284"/>
      </w:pPr>
      <w:rPr>
        <w:rFonts w:hint="default"/>
        <w:lang w:val="en-US" w:eastAsia="en-US" w:bidi="en-US"/>
      </w:rPr>
    </w:lvl>
    <w:lvl w:ilvl="2" w:tplc="17186E9A">
      <w:numFmt w:val="bullet"/>
      <w:lvlText w:val="•"/>
      <w:lvlJc w:val="left"/>
      <w:pPr>
        <w:ind w:left="1652" w:hanging="284"/>
      </w:pPr>
      <w:rPr>
        <w:rFonts w:hint="default"/>
        <w:lang w:val="en-US" w:eastAsia="en-US" w:bidi="en-US"/>
      </w:rPr>
    </w:lvl>
    <w:lvl w:ilvl="3" w:tplc="7F4E583A">
      <w:numFmt w:val="bullet"/>
      <w:lvlText w:val="•"/>
      <w:lvlJc w:val="left"/>
      <w:pPr>
        <w:ind w:left="2278" w:hanging="284"/>
      </w:pPr>
      <w:rPr>
        <w:rFonts w:hint="default"/>
        <w:lang w:val="en-US" w:eastAsia="en-US" w:bidi="en-US"/>
      </w:rPr>
    </w:lvl>
    <w:lvl w:ilvl="4" w:tplc="0BC6F01E">
      <w:numFmt w:val="bullet"/>
      <w:lvlText w:val="•"/>
      <w:lvlJc w:val="left"/>
      <w:pPr>
        <w:ind w:left="2904" w:hanging="284"/>
      </w:pPr>
      <w:rPr>
        <w:rFonts w:hint="default"/>
        <w:lang w:val="en-US" w:eastAsia="en-US" w:bidi="en-US"/>
      </w:rPr>
    </w:lvl>
    <w:lvl w:ilvl="5" w:tplc="538E02F6">
      <w:numFmt w:val="bullet"/>
      <w:lvlText w:val="•"/>
      <w:lvlJc w:val="left"/>
      <w:pPr>
        <w:ind w:left="3530" w:hanging="284"/>
      </w:pPr>
      <w:rPr>
        <w:rFonts w:hint="default"/>
        <w:lang w:val="en-US" w:eastAsia="en-US" w:bidi="en-US"/>
      </w:rPr>
    </w:lvl>
    <w:lvl w:ilvl="6" w:tplc="F844F6D4">
      <w:numFmt w:val="bullet"/>
      <w:lvlText w:val="•"/>
      <w:lvlJc w:val="left"/>
      <w:pPr>
        <w:ind w:left="4156" w:hanging="284"/>
      </w:pPr>
      <w:rPr>
        <w:rFonts w:hint="default"/>
        <w:lang w:val="en-US" w:eastAsia="en-US" w:bidi="en-US"/>
      </w:rPr>
    </w:lvl>
    <w:lvl w:ilvl="7" w:tplc="A88CB7F2">
      <w:numFmt w:val="bullet"/>
      <w:lvlText w:val="•"/>
      <w:lvlJc w:val="left"/>
      <w:pPr>
        <w:ind w:left="4782" w:hanging="284"/>
      </w:pPr>
      <w:rPr>
        <w:rFonts w:hint="default"/>
        <w:lang w:val="en-US" w:eastAsia="en-US" w:bidi="en-US"/>
      </w:rPr>
    </w:lvl>
    <w:lvl w:ilvl="8" w:tplc="4680F544">
      <w:numFmt w:val="bullet"/>
      <w:lvlText w:val="•"/>
      <w:lvlJc w:val="left"/>
      <w:pPr>
        <w:ind w:left="5408" w:hanging="284"/>
      </w:pPr>
      <w:rPr>
        <w:rFonts w:hint="default"/>
        <w:lang w:val="en-US" w:eastAsia="en-US" w:bidi="en-US"/>
      </w:rPr>
    </w:lvl>
  </w:abstractNum>
  <w:abstractNum w:abstractNumId="14" w15:restartNumberingAfterBreak="0">
    <w:nsid w:val="64A9049C"/>
    <w:multiLevelType w:val="hybridMultilevel"/>
    <w:tmpl w:val="0360BB2A"/>
    <w:lvl w:ilvl="0" w:tplc="DA80115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55400F7A">
      <w:numFmt w:val="bullet"/>
      <w:lvlText w:val="•"/>
      <w:lvlJc w:val="left"/>
      <w:pPr>
        <w:ind w:left="1026" w:hanging="284"/>
      </w:pPr>
      <w:rPr>
        <w:rFonts w:hint="default"/>
        <w:lang w:val="en-US" w:eastAsia="en-US" w:bidi="en-US"/>
      </w:rPr>
    </w:lvl>
    <w:lvl w:ilvl="2" w:tplc="295643DE">
      <w:numFmt w:val="bullet"/>
      <w:lvlText w:val="•"/>
      <w:lvlJc w:val="left"/>
      <w:pPr>
        <w:ind w:left="1652" w:hanging="284"/>
      </w:pPr>
      <w:rPr>
        <w:rFonts w:hint="default"/>
        <w:lang w:val="en-US" w:eastAsia="en-US" w:bidi="en-US"/>
      </w:rPr>
    </w:lvl>
    <w:lvl w:ilvl="3" w:tplc="ECA04C30">
      <w:numFmt w:val="bullet"/>
      <w:lvlText w:val="•"/>
      <w:lvlJc w:val="left"/>
      <w:pPr>
        <w:ind w:left="2278" w:hanging="284"/>
      </w:pPr>
      <w:rPr>
        <w:rFonts w:hint="default"/>
        <w:lang w:val="en-US" w:eastAsia="en-US" w:bidi="en-US"/>
      </w:rPr>
    </w:lvl>
    <w:lvl w:ilvl="4" w:tplc="52923276">
      <w:numFmt w:val="bullet"/>
      <w:lvlText w:val="•"/>
      <w:lvlJc w:val="left"/>
      <w:pPr>
        <w:ind w:left="2904" w:hanging="284"/>
      </w:pPr>
      <w:rPr>
        <w:rFonts w:hint="default"/>
        <w:lang w:val="en-US" w:eastAsia="en-US" w:bidi="en-US"/>
      </w:rPr>
    </w:lvl>
    <w:lvl w:ilvl="5" w:tplc="647EB31E">
      <w:numFmt w:val="bullet"/>
      <w:lvlText w:val="•"/>
      <w:lvlJc w:val="left"/>
      <w:pPr>
        <w:ind w:left="3530" w:hanging="284"/>
      </w:pPr>
      <w:rPr>
        <w:rFonts w:hint="default"/>
        <w:lang w:val="en-US" w:eastAsia="en-US" w:bidi="en-US"/>
      </w:rPr>
    </w:lvl>
    <w:lvl w:ilvl="6" w:tplc="F88E1DCE">
      <w:numFmt w:val="bullet"/>
      <w:lvlText w:val="•"/>
      <w:lvlJc w:val="left"/>
      <w:pPr>
        <w:ind w:left="4156" w:hanging="284"/>
      </w:pPr>
      <w:rPr>
        <w:rFonts w:hint="default"/>
        <w:lang w:val="en-US" w:eastAsia="en-US" w:bidi="en-US"/>
      </w:rPr>
    </w:lvl>
    <w:lvl w:ilvl="7" w:tplc="B9A22C9E">
      <w:numFmt w:val="bullet"/>
      <w:lvlText w:val="•"/>
      <w:lvlJc w:val="left"/>
      <w:pPr>
        <w:ind w:left="4782" w:hanging="284"/>
      </w:pPr>
      <w:rPr>
        <w:rFonts w:hint="default"/>
        <w:lang w:val="en-US" w:eastAsia="en-US" w:bidi="en-US"/>
      </w:rPr>
    </w:lvl>
    <w:lvl w:ilvl="8" w:tplc="1534D5F2">
      <w:numFmt w:val="bullet"/>
      <w:lvlText w:val="•"/>
      <w:lvlJc w:val="left"/>
      <w:pPr>
        <w:ind w:left="5408" w:hanging="284"/>
      </w:pPr>
      <w:rPr>
        <w:rFonts w:hint="default"/>
        <w:lang w:val="en-US" w:eastAsia="en-US" w:bidi="en-US"/>
      </w:rPr>
    </w:lvl>
  </w:abstractNum>
  <w:abstractNum w:abstractNumId="15" w15:restartNumberingAfterBreak="0">
    <w:nsid w:val="66CC5B10"/>
    <w:multiLevelType w:val="hybridMultilevel"/>
    <w:tmpl w:val="975C37F4"/>
    <w:lvl w:ilvl="0" w:tplc="E5C6A2D0">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858A6D80">
      <w:numFmt w:val="bullet"/>
      <w:lvlText w:val="•"/>
      <w:lvlJc w:val="left"/>
      <w:pPr>
        <w:ind w:left="1026" w:hanging="284"/>
      </w:pPr>
      <w:rPr>
        <w:rFonts w:hint="default"/>
        <w:lang w:val="en-US" w:eastAsia="en-US" w:bidi="en-US"/>
      </w:rPr>
    </w:lvl>
    <w:lvl w:ilvl="2" w:tplc="3DB0F30A">
      <w:numFmt w:val="bullet"/>
      <w:lvlText w:val="•"/>
      <w:lvlJc w:val="left"/>
      <w:pPr>
        <w:ind w:left="1652" w:hanging="284"/>
      </w:pPr>
      <w:rPr>
        <w:rFonts w:hint="default"/>
        <w:lang w:val="en-US" w:eastAsia="en-US" w:bidi="en-US"/>
      </w:rPr>
    </w:lvl>
    <w:lvl w:ilvl="3" w:tplc="6490658E">
      <w:numFmt w:val="bullet"/>
      <w:lvlText w:val="•"/>
      <w:lvlJc w:val="left"/>
      <w:pPr>
        <w:ind w:left="2278" w:hanging="284"/>
      </w:pPr>
      <w:rPr>
        <w:rFonts w:hint="default"/>
        <w:lang w:val="en-US" w:eastAsia="en-US" w:bidi="en-US"/>
      </w:rPr>
    </w:lvl>
    <w:lvl w:ilvl="4" w:tplc="57BA1294">
      <w:numFmt w:val="bullet"/>
      <w:lvlText w:val="•"/>
      <w:lvlJc w:val="left"/>
      <w:pPr>
        <w:ind w:left="2904" w:hanging="284"/>
      </w:pPr>
      <w:rPr>
        <w:rFonts w:hint="default"/>
        <w:lang w:val="en-US" w:eastAsia="en-US" w:bidi="en-US"/>
      </w:rPr>
    </w:lvl>
    <w:lvl w:ilvl="5" w:tplc="31867158">
      <w:numFmt w:val="bullet"/>
      <w:lvlText w:val="•"/>
      <w:lvlJc w:val="left"/>
      <w:pPr>
        <w:ind w:left="3530" w:hanging="284"/>
      </w:pPr>
      <w:rPr>
        <w:rFonts w:hint="default"/>
        <w:lang w:val="en-US" w:eastAsia="en-US" w:bidi="en-US"/>
      </w:rPr>
    </w:lvl>
    <w:lvl w:ilvl="6" w:tplc="DAE89CE4">
      <w:numFmt w:val="bullet"/>
      <w:lvlText w:val="•"/>
      <w:lvlJc w:val="left"/>
      <w:pPr>
        <w:ind w:left="4156" w:hanging="284"/>
      </w:pPr>
      <w:rPr>
        <w:rFonts w:hint="default"/>
        <w:lang w:val="en-US" w:eastAsia="en-US" w:bidi="en-US"/>
      </w:rPr>
    </w:lvl>
    <w:lvl w:ilvl="7" w:tplc="803E3722">
      <w:numFmt w:val="bullet"/>
      <w:lvlText w:val="•"/>
      <w:lvlJc w:val="left"/>
      <w:pPr>
        <w:ind w:left="4782" w:hanging="284"/>
      </w:pPr>
      <w:rPr>
        <w:rFonts w:hint="default"/>
        <w:lang w:val="en-US" w:eastAsia="en-US" w:bidi="en-US"/>
      </w:rPr>
    </w:lvl>
    <w:lvl w:ilvl="8" w:tplc="9202B9CE">
      <w:numFmt w:val="bullet"/>
      <w:lvlText w:val="•"/>
      <w:lvlJc w:val="left"/>
      <w:pPr>
        <w:ind w:left="5408" w:hanging="284"/>
      </w:pPr>
      <w:rPr>
        <w:rFonts w:hint="default"/>
        <w:lang w:val="en-US" w:eastAsia="en-US" w:bidi="en-US"/>
      </w:rPr>
    </w:lvl>
  </w:abstractNum>
  <w:abstractNum w:abstractNumId="16" w15:restartNumberingAfterBreak="0">
    <w:nsid w:val="6A0A4C2A"/>
    <w:multiLevelType w:val="hybridMultilevel"/>
    <w:tmpl w:val="7D0E12BE"/>
    <w:lvl w:ilvl="0" w:tplc="865E62DA">
      <w:numFmt w:val="bullet"/>
      <w:lvlText w:val="•"/>
      <w:lvlJc w:val="left"/>
      <w:pPr>
        <w:ind w:left="471" w:hanging="360"/>
      </w:pPr>
      <w:rPr>
        <w:rFonts w:ascii="Arial" w:eastAsia="Arial" w:hAnsi="Arial" w:cs="Arial" w:hint="default"/>
        <w:color w:val="57585B"/>
        <w:spacing w:val="-8"/>
        <w:w w:val="100"/>
        <w:sz w:val="18"/>
        <w:szCs w:val="18"/>
        <w:lang w:val="en-US" w:eastAsia="en-US" w:bidi="en-US"/>
      </w:rPr>
    </w:lvl>
    <w:lvl w:ilvl="1" w:tplc="9F48F91C">
      <w:numFmt w:val="bullet"/>
      <w:lvlText w:val="•"/>
      <w:lvlJc w:val="left"/>
      <w:pPr>
        <w:ind w:left="1143" w:hanging="360"/>
      </w:pPr>
      <w:rPr>
        <w:rFonts w:hint="default"/>
        <w:lang w:val="en-US" w:eastAsia="en-US" w:bidi="en-US"/>
      </w:rPr>
    </w:lvl>
    <w:lvl w:ilvl="2" w:tplc="44389C06">
      <w:numFmt w:val="bullet"/>
      <w:lvlText w:val="•"/>
      <w:lvlJc w:val="left"/>
      <w:pPr>
        <w:ind w:left="1806" w:hanging="360"/>
      </w:pPr>
      <w:rPr>
        <w:rFonts w:hint="default"/>
        <w:lang w:val="en-US" w:eastAsia="en-US" w:bidi="en-US"/>
      </w:rPr>
    </w:lvl>
    <w:lvl w:ilvl="3" w:tplc="1910BD58">
      <w:numFmt w:val="bullet"/>
      <w:lvlText w:val="•"/>
      <w:lvlJc w:val="left"/>
      <w:pPr>
        <w:ind w:left="2469" w:hanging="360"/>
      </w:pPr>
      <w:rPr>
        <w:rFonts w:hint="default"/>
        <w:lang w:val="en-US" w:eastAsia="en-US" w:bidi="en-US"/>
      </w:rPr>
    </w:lvl>
    <w:lvl w:ilvl="4" w:tplc="8EEC710A">
      <w:numFmt w:val="bullet"/>
      <w:lvlText w:val="•"/>
      <w:lvlJc w:val="left"/>
      <w:pPr>
        <w:ind w:left="3132" w:hanging="360"/>
      </w:pPr>
      <w:rPr>
        <w:rFonts w:hint="default"/>
        <w:lang w:val="en-US" w:eastAsia="en-US" w:bidi="en-US"/>
      </w:rPr>
    </w:lvl>
    <w:lvl w:ilvl="5" w:tplc="0D5CC8D8">
      <w:numFmt w:val="bullet"/>
      <w:lvlText w:val="•"/>
      <w:lvlJc w:val="left"/>
      <w:pPr>
        <w:ind w:left="3795" w:hanging="360"/>
      </w:pPr>
      <w:rPr>
        <w:rFonts w:hint="default"/>
        <w:lang w:val="en-US" w:eastAsia="en-US" w:bidi="en-US"/>
      </w:rPr>
    </w:lvl>
    <w:lvl w:ilvl="6" w:tplc="95D208FE">
      <w:numFmt w:val="bullet"/>
      <w:lvlText w:val="•"/>
      <w:lvlJc w:val="left"/>
      <w:pPr>
        <w:ind w:left="4458" w:hanging="360"/>
      </w:pPr>
      <w:rPr>
        <w:rFonts w:hint="default"/>
        <w:lang w:val="en-US" w:eastAsia="en-US" w:bidi="en-US"/>
      </w:rPr>
    </w:lvl>
    <w:lvl w:ilvl="7" w:tplc="7512A3DE">
      <w:numFmt w:val="bullet"/>
      <w:lvlText w:val="•"/>
      <w:lvlJc w:val="left"/>
      <w:pPr>
        <w:ind w:left="5121" w:hanging="360"/>
      </w:pPr>
      <w:rPr>
        <w:rFonts w:hint="default"/>
        <w:lang w:val="en-US" w:eastAsia="en-US" w:bidi="en-US"/>
      </w:rPr>
    </w:lvl>
    <w:lvl w:ilvl="8" w:tplc="F6828052">
      <w:numFmt w:val="bullet"/>
      <w:lvlText w:val="•"/>
      <w:lvlJc w:val="left"/>
      <w:pPr>
        <w:ind w:left="5784" w:hanging="360"/>
      </w:pPr>
      <w:rPr>
        <w:rFonts w:hint="default"/>
        <w:lang w:val="en-US" w:eastAsia="en-US" w:bidi="en-US"/>
      </w:rPr>
    </w:lvl>
  </w:abstractNum>
  <w:abstractNum w:abstractNumId="17" w15:restartNumberingAfterBreak="0">
    <w:nsid w:val="6ACE3F09"/>
    <w:multiLevelType w:val="hybridMultilevel"/>
    <w:tmpl w:val="E1C84A00"/>
    <w:lvl w:ilvl="0" w:tplc="483CA6A0">
      <w:start w:val="1"/>
      <w:numFmt w:val="lowerLetter"/>
      <w:lvlText w:val="%1."/>
      <w:lvlJc w:val="left"/>
      <w:pPr>
        <w:ind w:left="674" w:hanging="567"/>
      </w:pPr>
      <w:rPr>
        <w:rFonts w:ascii="Arial" w:eastAsia="Arial" w:hAnsi="Arial" w:cs="Arial" w:hint="default"/>
        <w:b/>
        <w:bCs/>
        <w:color w:val="57585B"/>
        <w:spacing w:val="-12"/>
        <w:w w:val="100"/>
        <w:sz w:val="18"/>
        <w:szCs w:val="18"/>
        <w:lang w:val="en-US" w:eastAsia="en-US" w:bidi="en-US"/>
      </w:rPr>
    </w:lvl>
    <w:lvl w:ilvl="1" w:tplc="D0AA9ED6">
      <w:numFmt w:val="bullet"/>
      <w:lvlText w:val="•"/>
      <w:lvlJc w:val="left"/>
      <w:pPr>
        <w:ind w:left="1323" w:hanging="567"/>
      </w:pPr>
      <w:rPr>
        <w:rFonts w:hint="default"/>
        <w:lang w:val="en-US" w:eastAsia="en-US" w:bidi="en-US"/>
      </w:rPr>
    </w:lvl>
    <w:lvl w:ilvl="2" w:tplc="22BCDDA2">
      <w:numFmt w:val="bullet"/>
      <w:lvlText w:val="•"/>
      <w:lvlJc w:val="left"/>
      <w:pPr>
        <w:ind w:left="1966" w:hanging="567"/>
      </w:pPr>
      <w:rPr>
        <w:rFonts w:hint="default"/>
        <w:lang w:val="en-US" w:eastAsia="en-US" w:bidi="en-US"/>
      </w:rPr>
    </w:lvl>
    <w:lvl w:ilvl="3" w:tplc="14740958">
      <w:numFmt w:val="bullet"/>
      <w:lvlText w:val="•"/>
      <w:lvlJc w:val="left"/>
      <w:pPr>
        <w:ind w:left="2609" w:hanging="567"/>
      </w:pPr>
      <w:rPr>
        <w:rFonts w:hint="default"/>
        <w:lang w:val="en-US" w:eastAsia="en-US" w:bidi="en-US"/>
      </w:rPr>
    </w:lvl>
    <w:lvl w:ilvl="4" w:tplc="AEB85414">
      <w:numFmt w:val="bullet"/>
      <w:lvlText w:val="•"/>
      <w:lvlJc w:val="left"/>
      <w:pPr>
        <w:ind w:left="3252" w:hanging="567"/>
      </w:pPr>
      <w:rPr>
        <w:rFonts w:hint="default"/>
        <w:lang w:val="en-US" w:eastAsia="en-US" w:bidi="en-US"/>
      </w:rPr>
    </w:lvl>
    <w:lvl w:ilvl="5" w:tplc="089C8AFE">
      <w:numFmt w:val="bullet"/>
      <w:lvlText w:val="•"/>
      <w:lvlJc w:val="left"/>
      <w:pPr>
        <w:ind w:left="3895" w:hanging="567"/>
      </w:pPr>
      <w:rPr>
        <w:rFonts w:hint="default"/>
        <w:lang w:val="en-US" w:eastAsia="en-US" w:bidi="en-US"/>
      </w:rPr>
    </w:lvl>
    <w:lvl w:ilvl="6" w:tplc="9D7E7DCA">
      <w:numFmt w:val="bullet"/>
      <w:lvlText w:val="•"/>
      <w:lvlJc w:val="left"/>
      <w:pPr>
        <w:ind w:left="4538" w:hanging="567"/>
      </w:pPr>
      <w:rPr>
        <w:rFonts w:hint="default"/>
        <w:lang w:val="en-US" w:eastAsia="en-US" w:bidi="en-US"/>
      </w:rPr>
    </w:lvl>
    <w:lvl w:ilvl="7" w:tplc="4C781B48">
      <w:numFmt w:val="bullet"/>
      <w:lvlText w:val="•"/>
      <w:lvlJc w:val="left"/>
      <w:pPr>
        <w:ind w:left="5181" w:hanging="567"/>
      </w:pPr>
      <w:rPr>
        <w:rFonts w:hint="default"/>
        <w:lang w:val="en-US" w:eastAsia="en-US" w:bidi="en-US"/>
      </w:rPr>
    </w:lvl>
    <w:lvl w:ilvl="8" w:tplc="F536CD42">
      <w:numFmt w:val="bullet"/>
      <w:lvlText w:val="•"/>
      <w:lvlJc w:val="left"/>
      <w:pPr>
        <w:ind w:left="5824" w:hanging="567"/>
      </w:pPr>
      <w:rPr>
        <w:rFonts w:hint="default"/>
        <w:lang w:val="en-US" w:eastAsia="en-US" w:bidi="en-US"/>
      </w:rPr>
    </w:lvl>
  </w:abstractNum>
  <w:abstractNum w:abstractNumId="18" w15:restartNumberingAfterBreak="0">
    <w:nsid w:val="6AD70D0B"/>
    <w:multiLevelType w:val="hybridMultilevel"/>
    <w:tmpl w:val="39E67DBE"/>
    <w:lvl w:ilvl="0" w:tplc="76E491CC">
      <w:numFmt w:val="bullet"/>
      <w:lvlText w:val="●"/>
      <w:lvlJc w:val="left"/>
      <w:pPr>
        <w:ind w:left="680" w:hanging="567"/>
      </w:pPr>
      <w:rPr>
        <w:rFonts w:ascii="Arial" w:eastAsia="Arial" w:hAnsi="Arial" w:cs="Arial" w:hint="default"/>
        <w:color w:val="913592"/>
        <w:w w:val="100"/>
        <w:sz w:val="20"/>
        <w:szCs w:val="20"/>
        <w:lang w:val="en-US" w:eastAsia="en-US" w:bidi="en-US"/>
      </w:rPr>
    </w:lvl>
    <w:lvl w:ilvl="1" w:tplc="CF627E80">
      <w:numFmt w:val="bullet"/>
      <w:lvlText w:val="●"/>
      <w:lvlJc w:val="left"/>
      <w:pPr>
        <w:ind w:left="1247" w:hanging="567"/>
      </w:pPr>
      <w:rPr>
        <w:rFonts w:hint="default"/>
        <w:w w:val="100"/>
        <w:lang w:val="en-US" w:eastAsia="en-US" w:bidi="en-US"/>
      </w:rPr>
    </w:lvl>
    <w:lvl w:ilvl="2" w:tplc="94D888D0">
      <w:numFmt w:val="bullet"/>
      <w:lvlText w:val="•"/>
      <w:lvlJc w:val="left"/>
      <w:pPr>
        <w:ind w:left="2235" w:hanging="567"/>
      </w:pPr>
      <w:rPr>
        <w:rFonts w:hint="default"/>
        <w:lang w:val="en-US" w:eastAsia="en-US" w:bidi="en-US"/>
      </w:rPr>
    </w:lvl>
    <w:lvl w:ilvl="3" w:tplc="13DE9EEE">
      <w:numFmt w:val="bullet"/>
      <w:lvlText w:val="•"/>
      <w:lvlJc w:val="left"/>
      <w:pPr>
        <w:ind w:left="3231" w:hanging="567"/>
      </w:pPr>
      <w:rPr>
        <w:rFonts w:hint="default"/>
        <w:lang w:val="en-US" w:eastAsia="en-US" w:bidi="en-US"/>
      </w:rPr>
    </w:lvl>
    <w:lvl w:ilvl="4" w:tplc="7ECCC42C">
      <w:numFmt w:val="bullet"/>
      <w:lvlText w:val="•"/>
      <w:lvlJc w:val="left"/>
      <w:pPr>
        <w:ind w:left="4226" w:hanging="567"/>
      </w:pPr>
      <w:rPr>
        <w:rFonts w:hint="default"/>
        <w:lang w:val="en-US" w:eastAsia="en-US" w:bidi="en-US"/>
      </w:rPr>
    </w:lvl>
    <w:lvl w:ilvl="5" w:tplc="70249CAE">
      <w:numFmt w:val="bullet"/>
      <w:lvlText w:val="•"/>
      <w:lvlJc w:val="left"/>
      <w:pPr>
        <w:ind w:left="5222" w:hanging="567"/>
      </w:pPr>
      <w:rPr>
        <w:rFonts w:hint="default"/>
        <w:lang w:val="en-US" w:eastAsia="en-US" w:bidi="en-US"/>
      </w:rPr>
    </w:lvl>
    <w:lvl w:ilvl="6" w:tplc="5018342A">
      <w:numFmt w:val="bullet"/>
      <w:lvlText w:val="•"/>
      <w:lvlJc w:val="left"/>
      <w:pPr>
        <w:ind w:left="6217" w:hanging="567"/>
      </w:pPr>
      <w:rPr>
        <w:rFonts w:hint="default"/>
        <w:lang w:val="en-US" w:eastAsia="en-US" w:bidi="en-US"/>
      </w:rPr>
    </w:lvl>
    <w:lvl w:ilvl="7" w:tplc="A8AA13FE">
      <w:numFmt w:val="bullet"/>
      <w:lvlText w:val="•"/>
      <w:lvlJc w:val="left"/>
      <w:pPr>
        <w:ind w:left="7213" w:hanging="567"/>
      </w:pPr>
      <w:rPr>
        <w:rFonts w:hint="default"/>
        <w:lang w:val="en-US" w:eastAsia="en-US" w:bidi="en-US"/>
      </w:rPr>
    </w:lvl>
    <w:lvl w:ilvl="8" w:tplc="3454D0BA">
      <w:numFmt w:val="bullet"/>
      <w:lvlText w:val="•"/>
      <w:lvlJc w:val="left"/>
      <w:pPr>
        <w:ind w:left="8208" w:hanging="567"/>
      </w:pPr>
      <w:rPr>
        <w:rFonts w:hint="default"/>
        <w:lang w:val="en-US" w:eastAsia="en-US" w:bidi="en-US"/>
      </w:rPr>
    </w:lvl>
  </w:abstractNum>
  <w:abstractNum w:abstractNumId="19" w15:restartNumberingAfterBreak="0">
    <w:nsid w:val="79B722DE"/>
    <w:multiLevelType w:val="hybridMultilevel"/>
    <w:tmpl w:val="CE843588"/>
    <w:lvl w:ilvl="0" w:tplc="095A1624">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ACEEBE94">
      <w:numFmt w:val="bullet"/>
      <w:lvlText w:val="•"/>
      <w:lvlJc w:val="left"/>
      <w:pPr>
        <w:ind w:left="1026" w:hanging="284"/>
      </w:pPr>
      <w:rPr>
        <w:rFonts w:hint="default"/>
        <w:lang w:val="en-US" w:eastAsia="en-US" w:bidi="en-US"/>
      </w:rPr>
    </w:lvl>
    <w:lvl w:ilvl="2" w:tplc="BD9EDA7C">
      <w:numFmt w:val="bullet"/>
      <w:lvlText w:val="•"/>
      <w:lvlJc w:val="left"/>
      <w:pPr>
        <w:ind w:left="1652" w:hanging="284"/>
      </w:pPr>
      <w:rPr>
        <w:rFonts w:hint="default"/>
        <w:lang w:val="en-US" w:eastAsia="en-US" w:bidi="en-US"/>
      </w:rPr>
    </w:lvl>
    <w:lvl w:ilvl="3" w:tplc="452AB760">
      <w:numFmt w:val="bullet"/>
      <w:lvlText w:val="•"/>
      <w:lvlJc w:val="left"/>
      <w:pPr>
        <w:ind w:left="2278" w:hanging="284"/>
      </w:pPr>
      <w:rPr>
        <w:rFonts w:hint="default"/>
        <w:lang w:val="en-US" w:eastAsia="en-US" w:bidi="en-US"/>
      </w:rPr>
    </w:lvl>
    <w:lvl w:ilvl="4" w:tplc="64F46968">
      <w:numFmt w:val="bullet"/>
      <w:lvlText w:val="•"/>
      <w:lvlJc w:val="left"/>
      <w:pPr>
        <w:ind w:left="2904" w:hanging="284"/>
      </w:pPr>
      <w:rPr>
        <w:rFonts w:hint="default"/>
        <w:lang w:val="en-US" w:eastAsia="en-US" w:bidi="en-US"/>
      </w:rPr>
    </w:lvl>
    <w:lvl w:ilvl="5" w:tplc="194CCDEA">
      <w:numFmt w:val="bullet"/>
      <w:lvlText w:val="•"/>
      <w:lvlJc w:val="left"/>
      <w:pPr>
        <w:ind w:left="3530" w:hanging="284"/>
      </w:pPr>
      <w:rPr>
        <w:rFonts w:hint="default"/>
        <w:lang w:val="en-US" w:eastAsia="en-US" w:bidi="en-US"/>
      </w:rPr>
    </w:lvl>
    <w:lvl w:ilvl="6" w:tplc="43741820">
      <w:numFmt w:val="bullet"/>
      <w:lvlText w:val="•"/>
      <w:lvlJc w:val="left"/>
      <w:pPr>
        <w:ind w:left="4156" w:hanging="284"/>
      </w:pPr>
      <w:rPr>
        <w:rFonts w:hint="default"/>
        <w:lang w:val="en-US" w:eastAsia="en-US" w:bidi="en-US"/>
      </w:rPr>
    </w:lvl>
    <w:lvl w:ilvl="7" w:tplc="D7403A10">
      <w:numFmt w:val="bullet"/>
      <w:lvlText w:val="•"/>
      <w:lvlJc w:val="left"/>
      <w:pPr>
        <w:ind w:left="4782" w:hanging="284"/>
      </w:pPr>
      <w:rPr>
        <w:rFonts w:hint="default"/>
        <w:lang w:val="en-US" w:eastAsia="en-US" w:bidi="en-US"/>
      </w:rPr>
    </w:lvl>
    <w:lvl w:ilvl="8" w:tplc="03540A7C">
      <w:numFmt w:val="bullet"/>
      <w:lvlText w:val="•"/>
      <w:lvlJc w:val="left"/>
      <w:pPr>
        <w:ind w:left="5408" w:hanging="284"/>
      </w:pPr>
      <w:rPr>
        <w:rFonts w:hint="default"/>
        <w:lang w:val="en-US" w:eastAsia="en-US" w:bidi="en-US"/>
      </w:rPr>
    </w:lvl>
  </w:abstractNum>
  <w:num w:numId="1">
    <w:abstractNumId w:val="3"/>
  </w:num>
  <w:num w:numId="2">
    <w:abstractNumId w:val="4"/>
  </w:num>
  <w:num w:numId="3">
    <w:abstractNumId w:val="16"/>
  </w:num>
  <w:num w:numId="4">
    <w:abstractNumId w:val="7"/>
  </w:num>
  <w:num w:numId="5">
    <w:abstractNumId w:val="0"/>
  </w:num>
  <w:num w:numId="6">
    <w:abstractNumId w:val="1"/>
  </w:num>
  <w:num w:numId="7">
    <w:abstractNumId w:val="12"/>
  </w:num>
  <w:num w:numId="8">
    <w:abstractNumId w:val="17"/>
  </w:num>
  <w:num w:numId="9">
    <w:abstractNumId w:val="19"/>
  </w:num>
  <w:num w:numId="10">
    <w:abstractNumId w:val="13"/>
  </w:num>
  <w:num w:numId="11">
    <w:abstractNumId w:val="15"/>
  </w:num>
  <w:num w:numId="12">
    <w:abstractNumId w:val="11"/>
  </w:num>
  <w:num w:numId="13">
    <w:abstractNumId w:val="9"/>
  </w:num>
  <w:num w:numId="14">
    <w:abstractNumId w:val="14"/>
  </w:num>
  <w:num w:numId="15">
    <w:abstractNumId w:val="5"/>
  </w:num>
  <w:num w:numId="16">
    <w:abstractNumId w:val="10"/>
  </w:num>
  <w:num w:numId="17">
    <w:abstractNumId w:val="8"/>
  </w:num>
  <w:num w:numId="18">
    <w:abstractNumId w:val="6"/>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3"/>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672"/>
    <w:rsid w:val="00030720"/>
    <w:rsid w:val="00040942"/>
    <w:rsid w:val="00044349"/>
    <w:rsid w:val="000A1246"/>
    <w:rsid w:val="000B23AF"/>
    <w:rsid w:val="001539AE"/>
    <w:rsid w:val="001F6118"/>
    <w:rsid w:val="002263BB"/>
    <w:rsid w:val="00296922"/>
    <w:rsid w:val="002A456C"/>
    <w:rsid w:val="002D6B12"/>
    <w:rsid w:val="002E548E"/>
    <w:rsid w:val="002F3238"/>
    <w:rsid w:val="003125F6"/>
    <w:rsid w:val="003819BE"/>
    <w:rsid w:val="003B6A36"/>
    <w:rsid w:val="004157E6"/>
    <w:rsid w:val="00437998"/>
    <w:rsid w:val="00445E4B"/>
    <w:rsid w:val="004A36F6"/>
    <w:rsid w:val="004B0669"/>
    <w:rsid w:val="004B2983"/>
    <w:rsid w:val="004C2D2A"/>
    <w:rsid w:val="004F4969"/>
    <w:rsid w:val="005A022F"/>
    <w:rsid w:val="005C54A4"/>
    <w:rsid w:val="005E4007"/>
    <w:rsid w:val="00626321"/>
    <w:rsid w:val="006449B9"/>
    <w:rsid w:val="00650131"/>
    <w:rsid w:val="006D5700"/>
    <w:rsid w:val="006E6B92"/>
    <w:rsid w:val="007015BA"/>
    <w:rsid w:val="00721F23"/>
    <w:rsid w:val="00730BDF"/>
    <w:rsid w:val="007A6D83"/>
    <w:rsid w:val="008A764A"/>
    <w:rsid w:val="008F671C"/>
    <w:rsid w:val="00900335"/>
    <w:rsid w:val="00920408"/>
    <w:rsid w:val="00A07272"/>
    <w:rsid w:val="00AB7E19"/>
    <w:rsid w:val="00B04150"/>
    <w:rsid w:val="00BA2655"/>
    <w:rsid w:val="00C345D0"/>
    <w:rsid w:val="00CB03F9"/>
    <w:rsid w:val="00CB10A5"/>
    <w:rsid w:val="00D17290"/>
    <w:rsid w:val="00D25DC1"/>
    <w:rsid w:val="00D37804"/>
    <w:rsid w:val="00D40B2A"/>
    <w:rsid w:val="00D77AFA"/>
    <w:rsid w:val="00D962C7"/>
    <w:rsid w:val="00DB7829"/>
    <w:rsid w:val="00DD4298"/>
    <w:rsid w:val="00E35672"/>
    <w:rsid w:val="00E65F6F"/>
    <w:rsid w:val="00ED78F3"/>
    <w:rsid w:val="00F73B19"/>
    <w:rsid w:val="00FC18AD"/>
    <w:rsid w:val="00FC1AA3"/>
    <w:rsid w:val="00FC7E33"/>
    <w:rsid w:val="00FF049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10E0E"/>
  <w15:docId w15:val="{6A8B93F5-0BEC-A64E-A61D-14FDFA66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paragraph" w:styleId="Ttulo1">
    <w:name w:val="heading 1"/>
    <w:basedOn w:val="Normal"/>
    <w:uiPriority w:val="9"/>
    <w:qFormat/>
    <w:pPr>
      <w:ind w:left="6487"/>
      <w:outlineLvl w:val="0"/>
    </w:pPr>
    <w:rPr>
      <w:b/>
      <w:bCs/>
      <w:sz w:val="28"/>
      <w:szCs w:val="28"/>
    </w:rPr>
  </w:style>
  <w:style w:type="paragraph" w:styleId="Ttulo2">
    <w:name w:val="heading 2"/>
    <w:basedOn w:val="Normal"/>
    <w:uiPriority w:val="9"/>
    <w:unhideWhenUsed/>
    <w:qFormat/>
    <w:pPr>
      <w:ind w:left="113" w:right="109"/>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680" w:hanging="567"/>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37804"/>
    <w:pPr>
      <w:tabs>
        <w:tab w:val="center" w:pos="4513"/>
        <w:tab w:val="right" w:pos="9026"/>
      </w:tabs>
    </w:pPr>
  </w:style>
  <w:style w:type="character" w:customStyle="1" w:styleId="EncabezadoCar">
    <w:name w:val="Encabezado Car"/>
    <w:basedOn w:val="Fuentedeprrafopredeter"/>
    <w:link w:val="Encabezado"/>
    <w:uiPriority w:val="99"/>
    <w:rsid w:val="00D37804"/>
    <w:rPr>
      <w:rFonts w:ascii="Arial" w:eastAsia="Arial" w:hAnsi="Arial" w:cs="Arial"/>
      <w:lang w:bidi="en-US"/>
    </w:rPr>
  </w:style>
  <w:style w:type="paragraph" w:styleId="Piedepgina">
    <w:name w:val="footer"/>
    <w:basedOn w:val="Normal"/>
    <w:link w:val="PiedepginaCar"/>
    <w:uiPriority w:val="99"/>
    <w:unhideWhenUsed/>
    <w:rsid w:val="00D37804"/>
    <w:pPr>
      <w:tabs>
        <w:tab w:val="center" w:pos="4513"/>
        <w:tab w:val="right" w:pos="9026"/>
      </w:tabs>
    </w:pPr>
  </w:style>
  <w:style w:type="character" w:customStyle="1" w:styleId="PiedepginaCar">
    <w:name w:val="Pie de página Car"/>
    <w:basedOn w:val="Fuentedeprrafopredeter"/>
    <w:link w:val="Piedepgina"/>
    <w:uiPriority w:val="99"/>
    <w:rsid w:val="00D37804"/>
    <w:rPr>
      <w:rFonts w:ascii="Arial" w:eastAsia="Arial" w:hAnsi="Arial" w:cs="Arial"/>
      <w:lang w:bidi="en-US"/>
    </w:rPr>
  </w:style>
  <w:style w:type="character" w:styleId="Refdecomentario">
    <w:name w:val="annotation reference"/>
    <w:basedOn w:val="Fuentedeprrafopredeter"/>
    <w:uiPriority w:val="99"/>
    <w:semiHidden/>
    <w:unhideWhenUsed/>
    <w:rsid w:val="005A022F"/>
    <w:rPr>
      <w:sz w:val="16"/>
      <w:szCs w:val="16"/>
    </w:rPr>
  </w:style>
  <w:style w:type="paragraph" w:styleId="Textocomentario">
    <w:name w:val="annotation text"/>
    <w:basedOn w:val="Normal"/>
    <w:link w:val="TextocomentarioCar"/>
    <w:uiPriority w:val="99"/>
    <w:semiHidden/>
    <w:unhideWhenUsed/>
    <w:rsid w:val="005A022F"/>
    <w:rPr>
      <w:sz w:val="20"/>
      <w:szCs w:val="20"/>
    </w:rPr>
  </w:style>
  <w:style w:type="character" w:customStyle="1" w:styleId="TextocomentarioCar">
    <w:name w:val="Texto comentario Car"/>
    <w:basedOn w:val="Fuentedeprrafopredeter"/>
    <w:link w:val="Textocomentario"/>
    <w:uiPriority w:val="99"/>
    <w:semiHidden/>
    <w:rsid w:val="005A022F"/>
    <w:rPr>
      <w:rFonts w:ascii="Arial" w:eastAsia="Arial" w:hAnsi="Arial" w:cs="Arial"/>
      <w:sz w:val="20"/>
      <w:szCs w:val="20"/>
      <w:lang w:bidi="en-US"/>
    </w:rPr>
  </w:style>
  <w:style w:type="paragraph" w:styleId="Asuntodelcomentario">
    <w:name w:val="annotation subject"/>
    <w:basedOn w:val="Textocomentario"/>
    <w:next w:val="Textocomentario"/>
    <w:link w:val="AsuntodelcomentarioCar"/>
    <w:uiPriority w:val="99"/>
    <w:semiHidden/>
    <w:unhideWhenUsed/>
    <w:rsid w:val="005A022F"/>
    <w:rPr>
      <w:b/>
      <w:bCs/>
    </w:rPr>
  </w:style>
  <w:style w:type="character" w:customStyle="1" w:styleId="AsuntodelcomentarioCar">
    <w:name w:val="Asunto del comentario Car"/>
    <w:basedOn w:val="TextocomentarioCar"/>
    <w:link w:val="Asuntodelcomentario"/>
    <w:uiPriority w:val="99"/>
    <w:semiHidden/>
    <w:rsid w:val="005A022F"/>
    <w:rPr>
      <w:rFonts w:ascii="Arial" w:eastAsia="Arial" w:hAnsi="Arial" w:cs="Arial"/>
      <w:b/>
      <w:bCs/>
      <w:sz w:val="20"/>
      <w:szCs w:val="20"/>
      <w:lang w:bidi="en-US"/>
    </w:rPr>
  </w:style>
  <w:style w:type="paragraph" w:styleId="Textodeglobo">
    <w:name w:val="Balloon Text"/>
    <w:basedOn w:val="Normal"/>
    <w:link w:val="TextodegloboCar"/>
    <w:uiPriority w:val="99"/>
    <w:semiHidden/>
    <w:unhideWhenUsed/>
    <w:rsid w:val="007015B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5BA"/>
    <w:rPr>
      <w:rFonts w:ascii="Segoe UI" w:eastAsia="Arial"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ce-accelerator.org/toolkit/section-2/tool-2-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lobalpartnership.org/content/practical-guide-effective-joint-sector-reviews-education-sec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C45BF23721994595D9DCB4EBB35E4C" ma:contentTypeVersion="13" ma:contentTypeDescription="Create a new document." ma:contentTypeScope="" ma:versionID="d3724e940bab23d49ae06cd47bc5b041">
  <xsd:schema xmlns:xsd="http://www.w3.org/2001/XMLSchema" xmlns:xs="http://www.w3.org/2001/XMLSchema" xmlns:p="http://schemas.microsoft.com/office/2006/metadata/properties" xmlns:ns3="361db50f-b9e6-4c6d-97e5-2bca12d39a4d" xmlns:ns4="6c2f473f-54ac-4b60-a76a-ab70e031bddb" targetNamespace="http://schemas.microsoft.com/office/2006/metadata/properties" ma:root="true" ma:fieldsID="516dcf59efefbf7fb6d42c6bc6a675de" ns3:_="" ns4:_="">
    <xsd:import namespace="361db50f-b9e6-4c6d-97e5-2bca12d39a4d"/>
    <xsd:import namespace="6c2f473f-54ac-4b60-a76a-ab70e031bdd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db50f-b9e6-4c6d-97e5-2bca12d39a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2f473f-54ac-4b60-a76a-ab70e031bddb"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4C351A-8D9A-4BFB-8F33-4F2A3E871122}">
  <ds:schemaRefs>
    <ds:schemaRef ds:uri="http://schemas.microsoft.com/sharepoint/v3/contenttype/forms"/>
  </ds:schemaRefs>
</ds:datastoreItem>
</file>

<file path=customXml/itemProps2.xml><?xml version="1.0" encoding="utf-8"?>
<ds:datastoreItem xmlns:ds="http://schemas.openxmlformats.org/officeDocument/2006/customXml" ds:itemID="{4076A59F-E2D4-4E17-A4B9-649734489C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D1448-E5FE-43DE-8CEC-07A2A2229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db50f-b9e6-4c6d-97e5-2bca12d39a4d"/>
    <ds:schemaRef ds:uri="6c2f473f-54ac-4b60-a76a-ab70e031bd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4552</Words>
  <Characters>25036</Characters>
  <Application>Microsoft Office Word</Application>
  <DocSecurity>0</DocSecurity>
  <Lines>208</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11</cp:revision>
  <dcterms:created xsi:type="dcterms:W3CDTF">2021-03-31T16:58:00Z</dcterms:created>
  <dcterms:modified xsi:type="dcterms:W3CDTF">2021-04-01T00:00:00Z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2021-03-16T00:00:00Z</vt:filetime>
  </property>
  <property fmtid="{D5CDD505-2E9C-101B-9397-08002B2CF9AE}" pid="5" name="ContentTypeId">
    <vt:lpwstr>0x01010004C45BF23721994595D9DCB4EBB35E4C</vt:lpwstr>
  </property>
</Properties>
</file>