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7D6F2" w14:textId="77777777" w:rsidR="00E35672" w:rsidRDefault="003125F6" w:rsidP="007A24B1">
      <w:pPr>
        <w:spacing w:before="75"/>
        <w:jc w:val="center"/>
        <w:rPr>
          <w:sz w:val="28"/>
        </w:rPr>
      </w:pPr>
      <w:r>
        <w:rPr>
          <w:color w:val="913592"/>
          <w:sz w:val="28"/>
          <w:lang w:bidi="es-ES"/>
        </w:rPr>
        <w:t>HERRAMIENTA 5.1 RECOMENDACIONES</w:t>
      </w:r>
    </w:p>
    <w:p w14:paraId="647DDFF2" w14:textId="77777777" w:rsidR="00E35672" w:rsidRDefault="003125F6" w:rsidP="007A24B1">
      <w:pPr>
        <w:spacing w:before="71"/>
        <w:jc w:val="center"/>
        <w:rPr>
          <w:b/>
          <w:sz w:val="28"/>
        </w:rPr>
      </w:pPr>
      <w:r>
        <w:rPr>
          <w:b/>
          <w:color w:val="913592"/>
          <w:sz w:val="28"/>
          <w:lang w:bidi="es-ES"/>
        </w:rPr>
        <w:t>PREPARACIÓN DEL PROCESO PARA UN EXAMEN ANUAL</w:t>
      </w:r>
    </w:p>
    <w:p w14:paraId="4C05458B" w14:textId="77777777" w:rsidR="00E35672" w:rsidRPr="007A24B1" w:rsidRDefault="00E35672" w:rsidP="00E33604">
      <w:pPr>
        <w:pStyle w:val="Textoindependiente"/>
        <w:jc w:val="center"/>
        <w:rPr>
          <w:b/>
          <w:sz w:val="26"/>
          <w:szCs w:val="26"/>
        </w:rPr>
      </w:pPr>
      <w:bookmarkStart w:id="0" w:name="_GoBack"/>
      <w:bookmarkEnd w:id="0"/>
    </w:p>
    <w:p w14:paraId="0149BE4A" w14:textId="77777777" w:rsidR="00E35672" w:rsidRPr="007A24B1" w:rsidRDefault="00E35672" w:rsidP="007A24B1">
      <w:pPr>
        <w:pStyle w:val="Textoindependiente"/>
        <w:spacing w:before="11"/>
        <w:rPr>
          <w:b/>
          <w:sz w:val="26"/>
          <w:szCs w:val="26"/>
        </w:rPr>
      </w:pPr>
    </w:p>
    <w:p w14:paraId="0515D9BA" w14:textId="77777777" w:rsidR="00E35672" w:rsidRDefault="003125F6" w:rsidP="007A24B1">
      <w:pPr>
        <w:ind w:left="113"/>
        <w:rPr>
          <w:b/>
          <w:sz w:val="26"/>
        </w:rPr>
      </w:pPr>
      <w:r>
        <w:rPr>
          <w:b/>
          <w:color w:val="57585B"/>
          <w:sz w:val="26"/>
          <w:lang w:bidi="es-ES"/>
        </w:rPr>
        <w:t>Recomendaciones: Preparación del proceso para un examen anual</w:t>
      </w:r>
    </w:p>
    <w:p w14:paraId="324E7AEE" w14:textId="77777777" w:rsidR="00E35672" w:rsidRDefault="003125F6" w:rsidP="007A24B1">
      <w:pPr>
        <w:pStyle w:val="Textoindependiente"/>
        <w:spacing w:before="150"/>
        <w:ind w:left="113"/>
      </w:pPr>
      <w:r>
        <w:rPr>
          <w:color w:val="434344"/>
          <w:lang w:bidi="es-ES"/>
        </w:rPr>
        <w:t>Existen dos recomendaciones principales para brindarle apoyo cuando se prepara para participar en el proceso de un examen anual y en la presentación de informes sobre los progresos realizados en materia de educación de la primera infancia (EPI).</w:t>
      </w:r>
    </w:p>
    <w:p w14:paraId="07CED0F1" w14:textId="77777777" w:rsidR="00E35672" w:rsidRPr="005053D0" w:rsidRDefault="00E35672" w:rsidP="007A24B1">
      <w:pPr>
        <w:pStyle w:val="Textoindependiente"/>
        <w:rPr>
          <w:sz w:val="18"/>
          <w:szCs w:val="18"/>
        </w:rPr>
      </w:pPr>
    </w:p>
    <w:p w14:paraId="62FB86C2" w14:textId="77777777" w:rsidR="00153DF3" w:rsidRDefault="00153DF3" w:rsidP="007A24B1">
      <w:pPr>
        <w:pStyle w:val="Textoindependiente"/>
        <w:spacing w:before="5"/>
        <w:rPr>
          <w:sz w:val="19"/>
        </w:rPr>
      </w:pPr>
    </w:p>
    <w:p w14:paraId="243264E3" w14:textId="5B40E0C3" w:rsidR="00E35672" w:rsidRDefault="00960D53" w:rsidP="007A24B1">
      <w:pPr>
        <w:pStyle w:val="Textoindependiente"/>
        <w:spacing w:before="5"/>
        <w:rPr>
          <w:sz w:val="19"/>
        </w:rPr>
      </w:pPr>
      <w:r>
        <w:rPr>
          <w:lang w:bidi="es-ES"/>
        </w:rPr>
        <w:pict w14:anchorId="217160D5">
          <v:group id="_x0000_s1036" alt="" style="position:absolute;margin-left:56.7pt;margin-top:13.2pt;width:498.65pt;height:24.7pt;z-index:-251660800;mso-wrap-distance-left:0;mso-wrap-distance-right:0;mso-position-horizontal-relative:page" coordorigin="1134,264" coordsize="9973,494">
            <v:line id="_x0000_s1037" alt="" style="position:absolute" from="1134,267" to="11106,267" strokecolor="#939598" strokeweight=".35pt"/>
            <v:line id="_x0000_s1038" alt="" style="position:absolute" from="1134,754" to="11106,754" strokecolor="#939598" strokeweight=".3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alt="" style="position:absolute;left:1133;top:339;width:569;height:355">
              <v:imagedata r:id="rId10" o:title=""/>
            </v:shape>
            <v:shapetype id="_x0000_t202" coordsize="21600,21600" o:spt="202" path="m,l,21600r21600,l21600,xe">
              <v:stroke joinstyle="miter"/>
              <v:path gradientshapeok="t" o:connecttype="rect"/>
            </v:shapetype>
            <v:shape id="_x0000_s1040" type="#_x0000_t202" alt="" style="position:absolute;left:1133;top:263;width:9973;height:494;mso-wrap-style:square;v-text-anchor:top" filled="f" stroked="f">
              <v:textbox inset="0,0,0,0">
                <w:txbxContent>
                  <w:p w14:paraId="5301E00B" w14:textId="77777777" w:rsidR="00E35672" w:rsidRDefault="003125F6">
                    <w:pPr>
                      <w:spacing w:before="103"/>
                      <w:ind w:left="680"/>
                      <w:rPr>
                        <w:b/>
                        <w:sz w:val="24"/>
                      </w:rPr>
                    </w:pPr>
                    <w:r>
                      <w:rPr>
                        <w:b/>
                        <w:color w:val="58595B"/>
                        <w:sz w:val="24"/>
                        <w:lang w:bidi="es-ES"/>
                      </w:rPr>
                      <w:t>Recomendación 1</w:t>
                    </w:r>
                  </w:p>
                </w:txbxContent>
              </v:textbox>
            </v:shape>
            <w10:wrap type="topAndBottom" anchorx="page"/>
          </v:group>
        </w:pict>
      </w:r>
    </w:p>
    <w:p w14:paraId="3C55248E" w14:textId="5628100F" w:rsidR="00E35672" w:rsidRDefault="003125F6" w:rsidP="007A24B1">
      <w:pPr>
        <w:pStyle w:val="Textoindependiente"/>
        <w:spacing w:before="96"/>
        <w:ind w:left="113"/>
      </w:pPr>
      <w:r>
        <w:rPr>
          <w:color w:val="434344"/>
          <w:lang w:bidi="es-ES"/>
        </w:rPr>
        <w:t xml:space="preserve">Al comenzar los preparativos para el examen anual, recopilar los datos y la información general que servirán para fundamentar los debates y diálogos durante las reuniones </w:t>
      </w:r>
      <w:r w:rsidR="00841BC8">
        <w:rPr>
          <w:color w:val="434344"/>
          <w:lang w:bidi="es-ES"/>
        </w:rPr>
        <w:t>con miras</w:t>
      </w:r>
      <w:r>
        <w:rPr>
          <w:color w:val="434344"/>
          <w:lang w:bidi="es-ES"/>
        </w:rPr>
        <w:t xml:space="preserve"> al examen anual.</w:t>
      </w:r>
    </w:p>
    <w:p w14:paraId="296833BE" w14:textId="77777777" w:rsidR="00E35672" w:rsidRDefault="00E35672" w:rsidP="007A24B1">
      <w:pPr>
        <w:pStyle w:val="Textoindependiente"/>
        <w:rPr>
          <w:sz w:val="22"/>
        </w:rPr>
      </w:pPr>
    </w:p>
    <w:p w14:paraId="1D95BB38" w14:textId="77777777" w:rsidR="00E35672" w:rsidRDefault="00E35672" w:rsidP="007A24B1">
      <w:pPr>
        <w:pStyle w:val="Textoindependiente"/>
        <w:spacing w:before="11"/>
        <w:rPr>
          <w:sz w:val="21"/>
        </w:rPr>
      </w:pPr>
    </w:p>
    <w:p w14:paraId="143C19DB" w14:textId="2B7DA699" w:rsidR="00E35672" w:rsidRPr="00B36939" w:rsidRDefault="003125F6" w:rsidP="007A24B1">
      <w:pPr>
        <w:pStyle w:val="Ttulo2"/>
        <w:numPr>
          <w:ilvl w:val="0"/>
          <w:numId w:val="20"/>
        </w:numPr>
        <w:tabs>
          <w:tab w:val="left" w:pos="437"/>
        </w:tabs>
        <w:ind w:firstLine="0"/>
      </w:pPr>
      <w:r>
        <w:rPr>
          <w:color w:val="913592"/>
          <w:lang w:bidi="es-ES"/>
        </w:rPr>
        <w:t>Realizar un análisis de los datos sobre EPI a partir del plan operacional y del marco de resultados (metas, indicadores y fuentes de datos relativos a la EPI) con el fin de identificar los siguientes aspectos:</w:t>
      </w:r>
    </w:p>
    <w:p w14:paraId="0E6D022B" w14:textId="77777777" w:rsidR="00B36939" w:rsidRDefault="00B36939" w:rsidP="00375514">
      <w:pPr>
        <w:pStyle w:val="Ttulo2"/>
        <w:tabs>
          <w:tab w:val="left" w:pos="437"/>
        </w:tabs>
        <w:ind w:left="0"/>
      </w:pPr>
    </w:p>
    <w:p w14:paraId="60B8971C" w14:textId="77777777" w:rsidR="00E35672" w:rsidRDefault="003125F6" w:rsidP="007A24B1">
      <w:pPr>
        <w:pStyle w:val="Prrafodelista"/>
        <w:numPr>
          <w:ilvl w:val="0"/>
          <w:numId w:val="19"/>
        </w:numPr>
        <w:tabs>
          <w:tab w:val="left" w:pos="680"/>
          <w:tab w:val="left" w:pos="681"/>
        </w:tabs>
        <w:spacing w:before="112"/>
        <w:rPr>
          <w:sz w:val="20"/>
        </w:rPr>
      </w:pPr>
      <w:r>
        <w:rPr>
          <w:color w:val="57585B"/>
          <w:sz w:val="20"/>
          <w:lang w:bidi="es-ES"/>
        </w:rPr>
        <w:t>¿Qué datos sobre EPI que se tenía previsto recabar fueron realmente recopilados?</w:t>
      </w:r>
    </w:p>
    <w:p w14:paraId="248A01FD" w14:textId="77777777" w:rsidR="00E35672" w:rsidRDefault="003125F6" w:rsidP="007A24B1">
      <w:pPr>
        <w:pStyle w:val="Prrafodelista"/>
        <w:numPr>
          <w:ilvl w:val="0"/>
          <w:numId w:val="19"/>
        </w:numPr>
        <w:tabs>
          <w:tab w:val="left" w:pos="681"/>
        </w:tabs>
        <w:spacing w:before="164"/>
        <w:ind w:right="112"/>
        <w:jc w:val="both"/>
        <w:rPr>
          <w:sz w:val="20"/>
        </w:rPr>
      </w:pPr>
      <w:r>
        <w:rPr>
          <w:color w:val="57585B"/>
          <w:sz w:val="20"/>
          <w:lang w:bidi="es-ES"/>
        </w:rPr>
        <w:t xml:space="preserve">¿Los datos sobre EPI han sido desglosados de manera que se resalten las diferencias relativas a todas las consideraciones en materia de equidad (incluidos los aspectos de género; ubicación geográfica; etnia; minorías lingüísticas; situación de discapacidad; estado socioeconómico; </w:t>
      </w:r>
      <w:proofErr w:type="gramStart"/>
      <w:r>
        <w:rPr>
          <w:color w:val="57585B"/>
          <w:sz w:val="20"/>
          <w:lang w:bidi="es-ES"/>
        </w:rPr>
        <w:t>condición de migrantes, inmigrantes, desplazados internos o refugiados)?</w:t>
      </w:r>
      <w:proofErr w:type="gramEnd"/>
    </w:p>
    <w:p w14:paraId="5D7B0134" w14:textId="77777777" w:rsidR="00E35672" w:rsidRDefault="003125F6" w:rsidP="007A24B1">
      <w:pPr>
        <w:pStyle w:val="Prrafodelista"/>
        <w:numPr>
          <w:ilvl w:val="0"/>
          <w:numId w:val="19"/>
        </w:numPr>
        <w:tabs>
          <w:tab w:val="left" w:pos="680"/>
          <w:tab w:val="left" w:pos="681"/>
        </w:tabs>
        <w:spacing w:before="111"/>
        <w:rPr>
          <w:sz w:val="20"/>
        </w:rPr>
      </w:pPr>
      <w:r>
        <w:rPr>
          <w:color w:val="57585B"/>
          <w:sz w:val="20"/>
          <w:lang w:bidi="es-ES"/>
        </w:rPr>
        <w:t>¿Los datos sobre EPI fueron analizados y comunicados de acuerdo con los intervalos acordados?</w:t>
      </w:r>
    </w:p>
    <w:p w14:paraId="52EA0DDE" w14:textId="77777777" w:rsidR="00E35672" w:rsidRDefault="003125F6" w:rsidP="007A24B1">
      <w:pPr>
        <w:pStyle w:val="Prrafodelista"/>
        <w:numPr>
          <w:ilvl w:val="0"/>
          <w:numId w:val="19"/>
        </w:numPr>
        <w:tabs>
          <w:tab w:val="left" w:pos="680"/>
          <w:tab w:val="left" w:pos="681"/>
        </w:tabs>
        <w:spacing w:before="164"/>
        <w:ind w:right="113"/>
        <w:rPr>
          <w:sz w:val="20"/>
        </w:rPr>
      </w:pPr>
      <w:r>
        <w:rPr>
          <w:color w:val="57585B"/>
          <w:sz w:val="20"/>
          <w:lang w:bidi="es-ES"/>
        </w:rPr>
        <w:t>¿Qué indicadores del plan operacional (o del plan de trabajo anual, si procede) pueden contribuir con mayor claridad a la presentación de informes sobre los indicadores dentro del marco de resultados del plan del sector educativo (PSE)?</w:t>
      </w:r>
    </w:p>
    <w:p w14:paraId="7822DFA7" w14:textId="77777777" w:rsidR="00E35672" w:rsidRDefault="003125F6" w:rsidP="007A24B1">
      <w:pPr>
        <w:pStyle w:val="Prrafodelista"/>
        <w:numPr>
          <w:ilvl w:val="0"/>
          <w:numId w:val="19"/>
        </w:numPr>
        <w:tabs>
          <w:tab w:val="left" w:pos="680"/>
          <w:tab w:val="left" w:pos="681"/>
        </w:tabs>
        <w:spacing w:before="112"/>
        <w:rPr>
          <w:sz w:val="20"/>
        </w:rPr>
      </w:pPr>
      <w:r>
        <w:rPr>
          <w:color w:val="57585B"/>
          <w:sz w:val="20"/>
          <w:lang w:bidi="es-ES"/>
        </w:rPr>
        <w:t>¿Qué metas se han cumplido y cuáles no?</w:t>
      </w:r>
    </w:p>
    <w:p w14:paraId="0D851D2E" w14:textId="77777777" w:rsidR="00E35672" w:rsidRDefault="00E35672" w:rsidP="007A24B1">
      <w:pPr>
        <w:pStyle w:val="Textoindependiente"/>
        <w:spacing w:before="5"/>
        <w:rPr>
          <w:sz w:val="26"/>
        </w:rPr>
      </w:pPr>
    </w:p>
    <w:p w14:paraId="5F2AC3CF" w14:textId="5A75FE89" w:rsidR="00F26B16" w:rsidRDefault="003125F6" w:rsidP="007A24B1">
      <w:pPr>
        <w:pStyle w:val="Textoindependiente"/>
        <w:ind w:left="113" w:right="112"/>
        <w:jc w:val="both"/>
      </w:pPr>
      <w:r>
        <w:rPr>
          <w:color w:val="57585B"/>
          <w:lang w:bidi="es-ES"/>
        </w:rPr>
        <w:t>Véase el cuadro 2 de los anexos (más abajo), en el que se presentan preguntas adicionales para ayudar a los países a prepararse para analizar el subsector de la EPI a efectos del examen anual o del examen sectorial conjunto. Estas preguntas han sido adaptadas de las orientaciones para la realización de exámenes sectoriales conjuntos establecidas por la Alianza Mundial para la Educación.</w:t>
      </w:r>
    </w:p>
    <w:p w14:paraId="7BB2B7A4" w14:textId="53AD0762" w:rsidR="00272073" w:rsidRDefault="00272073" w:rsidP="007A24B1">
      <w:pPr>
        <w:pStyle w:val="Textoindependiente"/>
        <w:ind w:left="113" w:right="112"/>
        <w:jc w:val="both"/>
      </w:pPr>
    </w:p>
    <w:p w14:paraId="30012BD2" w14:textId="77777777" w:rsidR="001064C0" w:rsidRPr="00272073" w:rsidRDefault="001064C0" w:rsidP="007A24B1">
      <w:pPr>
        <w:pStyle w:val="Textoindependiente"/>
        <w:ind w:left="113" w:right="112"/>
        <w:jc w:val="both"/>
      </w:pPr>
    </w:p>
    <w:p w14:paraId="12439D11" w14:textId="6E1D9E89" w:rsidR="00E35672" w:rsidRPr="005053D0" w:rsidRDefault="003125F6" w:rsidP="007A24B1">
      <w:pPr>
        <w:pStyle w:val="Ttulo2"/>
        <w:numPr>
          <w:ilvl w:val="0"/>
          <w:numId w:val="20"/>
        </w:numPr>
        <w:tabs>
          <w:tab w:val="left" w:pos="423"/>
        </w:tabs>
        <w:spacing w:before="141"/>
        <w:ind w:firstLine="0"/>
      </w:pPr>
      <w:r>
        <w:rPr>
          <w:color w:val="913592"/>
          <w:lang w:bidi="es-ES"/>
        </w:rPr>
        <w:t>Reflexionar sobre las estrategias y actividades relativas a la EPI del plan operacional y recopilar datos cualitativos para sustentar los logros y dificultados del subsector de la EPI.</w:t>
      </w:r>
    </w:p>
    <w:p w14:paraId="46ED41C2" w14:textId="71996665" w:rsidR="00E35672" w:rsidRDefault="00B36939" w:rsidP="007A24B1">
      <w:pPr>
        <w:pStyle w:val="Textoindependiente"/>
        <w:spacing w:before="10"/>
        <w:rPr>
          <w:b/>
          <w:sz w:val="21"/>
        </w:rPr>
      </w:pPr>
      <w:r>
        <w:rPr>
          <w:b/>
          <w:sz w:val="21"/>
        </w:rPr>
        <w:t xml:space="preserve"> </w:t>
      </w:r>
    </w:p>
    <w:p w14:paraId="17008C3E" w14:textId="37E3A8ED" w:rsidR="00E35672" w:rsidRDefault="003125F6" w:rsidP="007A24B1">
      <w:pPr>
        <w:pStyle w:val="Prrafodelista"/>
        <w:numPr>
          <w:ilvl w:val="0"/>
          <w:numId w:val="19"/>
        </w:numPr>
        <w:tabs>
          <w:tab w:val="left" w:pos="681"/>
        </w:tabs>
        <w:spacing w:before="1"/>
        <w:ind w:right="110"/>
        <w:jc w:val="both"/>
        <w:rPr>
          <w:sz w:val="20"/>
        </w:rPr>
      </w:pPr>
      <w:r>
        <w:rPr>
          <w:color w:val="57585B"/>
          <w:sz w:val="20"/>
          <w:lang w:bidi="es-ES"/>
        </w:rPr>
        <w:t xml:space="preserve">La </w:t>
      </w:r>
      <w:hyperlink r:id="rId11">
        <w:r>
          <w:rPr>
            <w:color w:val="57585B"/>
            <w:sz w:val="20"/>
            <w:u w:val="single" w:color="57585B"/>
            <w:lang w:bidi="es-ES"/>
          </w:rPr>
          <w:t>herramienta de análisis del subsector preescolar</w:t>
        </w:r>
        <w:r>
          <w:rPr>
            <w:color w:val="57585B"/>
            <w:spacing w:val="-8"/>
            <w:sz w:val="20"/>
            <w:lang w:bidi="es-ES"/>
          </w:rPr>
          <w:t xml:space="preserve"> </w:t>
        </w:r>
      </w:hyperlink>
      <w:r>
        <w:rPr>
          <w:color w:val="57585B"/>
          <w:sz w:val="20"/>
          <w:lang w:bidi="es-ES"/>
        </w:rPr>
        <w:t>es útil para este ejercicio, con el fin de determinar si los avances en materia de EPI en relación con el plan operacional y el marco de resultados contribuyen eficazmente al funcionamiento del subsector de la EPI.</w:t>
      </w:r>
    </w:p>
    <w:p w14:paraId="0B10D50F" w14:textId="77777777" w:rsidR="00E35672" w:rsidRDefault="003125F6" w:rsidP="007A24B1">
      <w:pPr>
        <w:pStyle w:val="Prrafodelista"/>
        <w:numPr>
          <w:ilvl w:val="0"/>
          <w:numId w:val="19"/>
        </w:numPr>
        <w:tabs>
          <w:tab w:val="left" w:pos="680"/>
          <w:tab w:val="left" w:pos="681"/>
        </w:tabs>
        <w:spacing w:before="111"/>
        <w:rPr>
          <w:sz w:val="20"/>
        </w:rPr>
      </w:pPr>
      <w:r>
        <w:rPr>
          <w:color w:val="57585B"/>
          <w:sz w:val="20"/>
          <w:lang w:bidi="es-ES"/>
        </w:rPr>
        <w:t>Este análisis cualitativo le ayudará a reflexionar sobre dos aspectos:</w:t>
      </w:r>
    </w:p>
    <w:p w14:paraId="1FCA4C36" w14:textId="77777777" w:rsidR="00E35672" w:rsidRDefault="003125F6" w:rsidP="007A24B1">
      <w:pPr>
        <w:pStyle w:val="Prrafodelista"/>
        <w:numPr>
          <w:ilvl w:val="1"/>
          <w:numId w:val="19"/>
        </w:numPr>
        <w:tabs>
          <w:tab w:val="left" w:pos="1247"/>
          <w:tab w:val="left" w:pos="1248"/>
        </w:tabs>
        <w:spacing w:before="164"/>
        <w:rPr>
          <w:color w:val="57585B"/>
          <w:sz w:val="20"/>
        </w:rPr>
      </w:pPr>
      <w:r>
        <w:rPr>
          <w:color w:val="57585B"/>
          <w:sz w:val="20"/>
          <w:lang w:bidi="es-ES"/>
        </w:rPr>
        <w:t>si existen dificultades para la aplicación de las estrategias y actividades relativas a la EPI; y</w:t>
      </w:r>
    </w:p>
    <w:p w14:paraId="6D56C471" w14:textId="77777777" w:rsidR="00E35672" w:rsidRDefault="003125F6" w:rsidP="007A24B1">
      <w:pPr>
        <w:pStyle w:val="Prrafodelista"/>
        <w:numPr>
          <w:ilvl w:val="1"/>
          <w:numId w:val="19"/>
        </w:numPr>
        <w:tabs>
          <w:tab w:val="left" w:pos="1247"/>
          <w:tab w:val="left" w:pos="1248"/>
        </w:tabs>
        <w:spacing w:before="163"/>
        <w:ind w:right="110"/>
        <w:rPr>
          <w:color w:val="57585B"/>
          <w:sz w:val="20"/>
        </w:rPr>
      </w:pPr>
      <w:r>
        <w:rPr>
          <w:color w:val="57585B"/>
          <w:sz w:val="20"/>
          <w:lang w:bidi="es-ES"/>
        </w:rPr>
        <w:t>si se deben mejorar o ajustar los componentes relativos a la EPI (sus estrategias, actividades, indicadores y metas) e identificar las medidas pertinentes para rectificar el rumbo.</w:t>
      </w:r>
    </w:p>
    <w:p w14:paraId="06D8E447" w14:textId="68AA594E" w:rsidR="00AF5041" w:rsidRDefault="00AF5041" w:rsidP="007A24B1">
      <w:pPr>
        <w:pStyle w:val="Textoindependiente"/>
        <w:spacing w:before="4"/>
        <w:rPr>
          <w:sz w:val="21"/>
        </w:rPr>
      </w:pPr>
    </w:p>
    <w:p w14:paraId="6A30EC6F" w14:textId="747F8C15" w:rsidR="00C92436" w:rsidRDefault="00C92436" w:rsidP="007A24B1">
      <w:pPr>
        <w:pStyle w:val="Textoindependiente"/>
        <w:spacing w:before="4"/>
        <w:rPr>
          <w:sz w:val="21"/>
        </w:rPr>
      </w:pPr>
    </w:p>
    <w:p w14:paraId="5C2DFAF0" w14:textId="6B00A605" w:rsidR="00140ACC" w:rsidRDefault="00140ACC" w:rsidP="007A24B1">
      <w:pPr>
        <w:pStyle w:val="Textoindependiente"/>
        <w:spacing w:before="4"/>
        <w:rPr>
          <w:sz w:val="21"/>
        </w:rPr>
      </w:pPr>
    </w:p>
    <w:p w14:paraId="12EE100B" w14:textId="51EA4425" w:rsidR="00140ACC" w:rsidRDefault="00140ACC" w:rsidP="007A24B1">
      <w:pPr>
        <w:pStyle w:val="Textoindependiente"/>
        <w:spacing w:before="4"/>
        <w:rPr>
          <w:sz w:val="21"/>
        </w:rPr>
      </w:pPr>
    </w:p>
    <w:p w14:paraId="410C40B8" w14:textId="77777777" w:rsidR="00140ACC" w:rsidRDefault="00140ACC" w:rsidP="007A24B1">
      <w:pPr>
        <w:pStyle w:val="Textoindependiente"/>
        <w:spacing w:before="4"/>
        <w:rPr>
          <w:sz w:val="21"/>
        </w:rPr>
      </w:pPr>
    </w:p>
    <w:p w14:paraId="1B8D7A8F" w14:textId="796DFAD4" w:rsidR="00E35672" w:rsidRPr="00194D5B" w:rsidRDefault="003125F6" w:rsidP="007A24B1">
      <w:pPr>
        <w:pStyle w:val="Ttulo2"/>
        <w:numPr>
          <w:ilvl w:val="0"/>
          <w:numId w:val="20"/>
        </w:numPr>
        <w:tabs>
          <w:tab w:val="left" w:pos="449"/>
        </w:tabs>
        <w:spacing w:before="94"/>
        <w:ind w:right="111" w:firstLine="0"/>
      </w:pPr>
      <w:r>
        <w:rPr>
          <w:color w:val="913592"/>
          <w:lang w:bidi="es-ES"/>
        </w:rPr>
        <w:lastRenderedPageBreak/>
        <w:t>Documentar los hallazgos y resultados del análisis y la revisión de los datos, así como las reflexiones sobre los avances en materia de EPI en un informe de desempeño del sector de la educación.</w:t>
      </w:r>
    </w:p>
    <w:p w14:paraId="1DA37FB7" w14:textId="77777777" w:rsidR="00E35672" w:rsidRDefault="00E35672" w:rsidP="007A24B1">
      <w:pPr>
        <w:pStyle w:val="Textoindependiente"/>
        <w:spacing w:before="3"/>
        <w:rPr>
          <w:b/>
          <w:sz w:val="18"/>
        </w:rPr>
      </w:pPr>
    </w:p>
    <w:p w14:paraId="24675910" w14:textId="77777777" w:rsidR="00E35672" w:rsidRDefault="003125F6" w:rsidP="007A24B1">
      <w:pPr>
        <w:pStyle w:val="Prrafodelista"/>
        <w:numPr>
          <w:ilvl w:val="0"/>
          <w:numId w:val="19"/>
        </w:numPr>
        <w:tabs>
          <w:tab w:val="left" w:pos="681"/>
        </w:tabs>
        <w:ind w:right="110"/>
        <w:jc w:val="both"/>
        <w:rPr>
          <w:sz w:val="20"/>
        </w:rPr>
      </w:pPr>
      <w:r>
        <w:rPr>
          <w:color w:val="434344"/>
          <w:sz w:val="20"/>
          <w:lang w:bidi="es-ES"/>
        </w:rPr>
        <w:t>La presentación de la información sobre la EPI en el informe de desempeño del sector educativo debe sintetizar y basarse en los datos y reflexiones sobre la aplicación de las estrategias y actividades relativas a la EPI, con el fin de proporcionar una buena comprensión de:</w:t>
      </w:r>
    </w:p>
    <w:p w14:paraId="2BD07C87" w14:textId="77777777" w:rsidR="00E35672" w:rsidRDefault="003125F6" w:rsidP="007A24B1">
      <w:pPr>
        <w:pStyle w:val="Prrafodelista"/>
        <w:numPr>
          <w:ilvl w:val="1"/>
          <w:numId w:val="19"/>
        </w:numPr>
        <w:tabs>
          <w:tab w:val="left" w:pos="1247"/>
          <w:tab w:val="left" w:pos="1248"/>
        </w:tabs>
        <w:spacing w:before="120"/>
        <w:rPr>
          <w:color w:val="58595B"/>
          <w:sz w:val="20"/>
        </w:rPr>
      </w:pPr>
      <w:r>
        <w:rPr>
          <w:color w:val="58595B"/>
          <w:sz w:val="20"/>
          <w:lang w:bidi="es-ES"/>
        </w:rPr>
        <w:t>los avances y tendencias en materia de EPI con relación a las metas y los objetivos;</w:t>
      </w:r>
    </w:p>
    <w:p w14:paraId="784605FB" w14:textId="77777777" w:rsidR="00E35672" w:rsidRDefault="003125F6" w:rsidP="007A24B1">
      <w:pPr>
        <w:pStyle w:val="Prrafodelista"/>
        <w:numPr>
          <w:ilvl w:val="1"/>
          <w:numId w:val="19"/>
        </w:numPr>
        <w:tabs>
          <w:tab w:val="left" w:pos="1247"/>
          <w:tab w:val="left" w:pos="1248"/>
        </w:tabs>
        <w:spacing w:before="163"/>
        <w:rPr>
          <w:color w:val="58595B"/>
          <w:sz w:val="20"/>
        </w:rPr>
      </w:pPr>
      <w:r>
        <w:rPr>
          <w:color w:val="58595B"/>
          <w:sz w:val="20"/>
          <w:lang w:bidi="es-ES"/>
        </w:rPr>
        <w:t>la evolución de los indicadores clave de desempeño y de los indicadores de progreso;</w:t>
      </w:r>
    </w:p>
    <w:p w14:paraId="31605E34" w14:textId="77777777" w:rsidR="00E35672" w:rsidRDefault="003125F6" w:rsidP="007A24B1">
      <w:pPr>
        <w:pStyle w:val="Prrafodelista"/>
        <w:numPr>
          <w:ilvl w:val="1"/>
          <w:numId w:val="19"/>
        </w:numPr>
        <w:tabs>
          <w:tab w:val="left" w:pos="1247"/>
          <w:tab w:val="left" w:pos="1248"/>
        </w:tabs>
        <w:spacing w:before="164"/>
        <w:rPr>
          <w:color w:val="58595B"/>
          <w:sz w:val="20"/>
        </w:rPr>
      </w:pPr>
      <w:r>
        <w:rPr>
          <w:color w:val="58595B"/>
          <w:sz w:val="20"/>
          <w:lang w:bidi="es-ES"/>
        </w:rPr>
        <w:t>las tendencias financieras y de los gastos para el subsector de la EPI;</w:t>
      </w:r>
    </w:p>
    <w:p w14:paraId="590AB9A5" w14:textId="77777777" w:rsidR="00E35672" w:rsidRDefault="003125F6" w:rsidP="007A24B1">
      <w:pPr>
        <w:pStyle w:val="Prrafodelista"/>
        <w:numPr>
          <w:ilvl w:val="1"/>
          <w:numId w:val="19"/>
        </w:numPr>
        <w:tabs>
          <w:tab w:val="left" w:pos="1247"/>
          <w:tab w:val="left" w:pos="1248"/>
        </w:tabs>
        <w:spacing w:before="163"/>
        <w:rPr>
          <w:color w:val="58595B"/>
          <w:sz w:val="20"/>
        </w:rPr>
      </w:pPr>
      <w:r>
        <w:rPr>
          <w:color w:val="58595B"/>
          <w:sz w:val="20"/>
          <w:lang w:bidi="es-ES"/>
        </w:rPr>
        <w:t>los análisis críticos tanto de los logros como de los obstáculos para la EPI en el plano operacional;</w:t>
      </w:r>
    </w:p>
    <w:p w14:paraId="0B80D718" w14:textId="77777777" w:rsidR="00E35672" w:rsidRDefault="003125F6" w:rsidP="007A24B1">
      <w:pPr>
        <w:pStyle w:val="Prrafodelista"/>
        <w:numPr>
          <w:ilvl w:val="1"/>
          <w:numId w:val="19"/>
        </w:numPr>
        <w:tabs>
          <w:tab w:val="left" w:pos="1247"/>
          <w:tab w:val="left" w:pos="1248"/>
        </w:tabs>
        <w:spacing w:before="164"/>
        <w:rPr>
          <w:color w:val="58595B"/>
          <w:sz w:val="20"/>
        </w:rPr>
      </w:pPr>
      <w:r>
        <w:rPr>
          <w:color w:val="58595B"/>
          <w:sz w:val="20"/>
          <w:lang w:bidi="es-ES"/>
        </w:rPr>
        <w:t>los avances en materia de EPI y los resultados de la aplicación de las recomendaciones de los exámenes sectoriales conjuntos realizados anteriormente (si los hubiera);</w:t>
      </w:r>
    </w:p>
    <w:p w14:paraId="68C879A0" w14:textId="77777777" w:rsidR="00E35672" w:rsidRDefault="003125F6" w:rsidP="007A24B1">
      <w:pPr>
        <w:pStyle w:val="Prrafodelista"/>
        <w:numPr>
          <w:ilvl w:val="1"/>
          <w:numId w:val="19"/>
        </w:numPr>
        <w:tabs>
          <w:tab w:val="left" w:pos="1247"/>
          <w:tab w:val="left" w:pos="1248"/>
        </w:tabs>
        <w:spacing w:before="163"/>
        <w:rPr>
          <w:color w:val="58595B"/>
          <w:sz w:val="20"/>
        </w:rPr>
      </w:pPr>
      <w:r>
        <w:rPr>
          <w:color w:val="58595B"/>
          <w:sz w:val="20"/>
          <w:lang w:bidi="es-ES"/>
        </w:rPr>
        <w:t>las recomendaciones para abordar los obstáculos operacionales, ajustar las actividades o metas, etc.; y</w:t>
      </w:r>
    </w:p>
    <w:p w14:paraId="6DEEDB05" w14:textId="77777777" w:rsidR="00E35672" w:rsidRDefault="003125F6" w:rsidP="007A24B1">
      <w:pPr>
        <w:pStyle w:val="Prrafodelista"/>
        <w:numPr>
          <w:ilvl w:val="1"/>
          <w:numId w:val="19"/>
        </w:numPr>
        <w:tabs>
          <w:tab w:val="left" w:pos="1247"/>
          <w:tab w:val="left" w:pos="1248"/>
        </w:tabs>
        <w:spacing w:before="163"/>
        <w:rPr>
          <w:color w:val="58595B"/>
          <w:sz w:val="20"/>
        </w:rPr>
      </w:pPr>
      <w:r>
        <w:rPr>
          <w:color w:val="58595B"/>
          <w:sz w:val="20"/>
          <w:lang w:bidi="es-ES"/>
        </w:rPr>
        <w:t>los riesgos para la ejecución.</w:t>
      </w:r>
    </w:p>
    <w:p w14:paraId="7F553E3B" w14:textId="77777777" w:rsidR="00E35672" w:rsidRPr="007328C2" w:rsidRDefault="00E35672" w:rsidP="007A24B1">
      <w:pPr>
        <w:pStyle w:val="Textoindependiente"/>
      </w:pPr>
    </w:p>
    <w:p w14:paraId="04416189" w14:textId="77777777" w:rsidR="00E35672" w:rsidRPr="007328C2" w:rsidRDefault="00E35672" w:rsidP="007A24B1">
      <w:pPr>
        <w:pStyle w:val="Textoindependiente"/>
        <w:spacing w:before="2"/>
      </w:pPr>
    </w:p>
    <w:p w14:paraId="5B47813C" w14:textId="77777777" w:rsidR="00E35672" w:rsidRDefault="003125F6" w:rsidP="007A24B1">
      <w:pPr>
        <w:pStyle w:val="Prrafodelista"/>
        <w:numPr>
          <w:ilvl w:val="0"/>
          <w:numId w:val="19"/>
        </w:numPr>
        <w:tabs>
          <w:tab w:val="left" w:pos="681"/>
        </w:tabs>
        <w:ind w:right="112"/>
        <w:jc w:val="both"/>
        <w:rPr>
          <w:sz w:val="20"/>
        </w:rPr>
      </w:pPr>
      <w:r>
        <w:rPr>
          <w:color w:val="434344"/>
          <w:sz w:val="20"/>
          <w:lang w:bidi="es-ES"/>
        </w:rPr>
        <w:t>El informe de desempeño educativo no se dirige únicamente a las partes interesadas del sector educativo, los miembros del Grupo de Trabajo Técnico sobre EPI, los asociados y los donantes, sino que su finalidad es estar a disposición de toda la comunidad educativa nacional, incluidos los progenitores, cuidadores y alumnos. Por lo tanto, presentar los avances y el desempeño del subsector de la EPI de manera atractiva y fácil de entender (por ejemplo, con gráficos, cuadros y elementos visuales claros) puede contribuir al alcance de un público más amplio.</w:t>
      </w:r>
    </w:p>
    <w:p w14:paraId="6135CB0A" w14:textId="77777777" w:rsidR="00E35672" w:rsidRDefault="00E35672" w:rsidP="007A24B1">
      <w:pPr>
        <w:pStyle w:val="Textoindependiente"/>
        <w:rPr>
          <w:sz w:val="22"/>
        </w:rPr>
      </w:pPr>
    </w:p>
    <w:p w14:paraId="67BB1C37" w14:textId="77777777" w:rsidR="00E35672" w:rsidRDefault="00E35672" w:rsidP="007A24B1">
      <w:pPr>
        <w:pStyle w:val="Textoindependiente"/>
        <w:spacing w:before="9"/>
        <w:rPr>
          <w:sz w:val="21"/>
        </w:rPr>
      </w:pPr>
    </w:p>
    <w:p w14:paraId="1036652A" w14:textId="77777777" w:rsidR="00E35672" w:rsidRDefault="003125F6" w:rsidP="007A24B1">
      <w:pPr>
        <w:pStyle w:val="Prrafodelista"/>
        <w:numPr>
          <w:ilvl w:val="0"/>
          <w:numId w:val="19"/>
        </w:numPr>
        <w:tabs>
          <w:tab w:val="left" w:pos="680"/>
          <w:tab w:val="left" w:pos="681"/>
        </w:tabs>
        <w:rPr>
          <w:sz w:val="20"/>
        </w:rPr>
      </w:pPr>
      <w:r>
        <w:rPr>
          <w:color w:val="434344"/>
          <w:sz w:val="20"/>
          <w:lang w:bidi="es-ES"/>
        </w:rPr>
        <w:t>La presentación de informes sobre la información financiera de la EPI debe:</w:t>
      </w:r>
    </w:p>
    <w:p w14:paraId="11D3C76A" w14:textId="77777777" w:rsidR="00E35672" w:rsidRDefault="003125F6" w:rsidP="007A24B1">
      <w:pPr>
        <w:pStyle w:val="Prrafodelista"/>
        <w:numPr>
          <w:ilvl w:val="1"/>
          <w:numId w:val="19"/>
        </w:numPr>
        <w:tabs>
          <w:tab w:val="left" w:pos="1247"/>
          <w:tab w:val="left" w:pos="1248"/>
        </w:tabs>
        <w:spacing w:before="164"/>
        <w:ind w:right="113"/>
        <w:rPr>
          <w:color w:val="58595B"/>
          <w:sz w:val="20"/>
        </w:rPr>
      </w:pPr>
      <w:r>
        <w:rPr>
          <w:color w:val="434344"/>
          <w:sz w:val="20"/>
          <w:lang w:bidi="es-ES"/>
        </w:rPr>
        <w:t>incluir detalles sobre los gastos en el plano del programa y las actividades, en función de su cobertura por financiación nacional y externa;</w:t>
      </w:r>
    </w:p>
    <w:p w14:paraId="0495E81B" w14:textId="77777777" w:rsidR="00E35672" w:rsidRDefault="003125F6" w:rsidP="007A24B1">
      <w:pPr>
        <w:pStyle w:val="Prrafodelista"/>
        <w:numPr>
          <w:ilvl w:val="1"/>
          <w:numId w:val="19"/>
        </w:numPr>
        <w:tabs>
          <w:tab w:val="left" w:pos="1247"/>
          <w:tab w:val="left" w:pos="1248"/>
        </w:tabs>
        <w:spacing w:before="112"/>
        <w:ind w:right="114"/>
        <w:rPr>
          <w:color w:val="58595B"/>
          <w:sz w:val="20"/>
        </w:rPr>
      </w:pPr>
      <w:r>
        <w:rPr>
          <w:color w:val="434344"/>
          <w:sz w:val="20"/>
          <w:lang w:bidi="es-ES"/>
        </w:rPr>
        <w:t>cubrir todo el período de examen a nivel del presupuesto nacional y, siempre que sea posible, también se deben incluir los gastos a nivel del presupuesto regional;</w:t>
      </w:r>
    </w:p>
    <w:p w14:paraId="05F608F0" w14:textId="77777777" w:rsidR="00E35672" w:rsidRDefault="003125F6" w:rsidP="007A24B1">
      <w:pPr>
        <w:pStyle w:val="Prrafodelista"/>
        <w:numPr>
          <w:ilvl w:val="1"/>
          <w:numId w:val="19"/>
        </w:numPr>
        <w:tabs>
          <w:tab w:val="left" w:pos="1247"/>
          <w:tab w:val="left" w:pos="1248"/>
        </w:tabs>
        <w:spacing w:before="112"/>
        <w:ind w:right="114"/>
        <w:rPr>
          <w:color w:val="58595B"/>
          <w:sz w:val="20"/>
        </w:rPr>
      </w:pPr>
      <w:r>
        <w:rPr>
          <w:color w:val="434344"/>
          <w:sz w:val="20"/>
          <w:lang w:bidi="es-ES"/>
        </w:rPr>
        <w:t>incluir detalles sobre los gastos y las asignaciones para la EPI en relación con las proyecciones a escala nacional y descentralizada; y</w:t>
      </w:r>
    </w:p>
    <w:p w14:paraId="4AC18A59" w14:textId="77777777" w:rsidR="00E35672" w:rsidRDefault="003125F6" w:rsidP="007A24B1">
      <w:pPr>
        <w:pStyle w:val="Prrafodelista"/>
        <w:numPr>
          <w:ilvl w:val="1"/>
          <w:numId w:val="19"/>
        </w:numPr>
        <w:tabs>
          <w:tab w:val="left" w:pos="1247"/>
          <w:tab w:val="left" w:pos="1248"/>
        </w:tabs>
        <w:spacing w:before="112"/>
        <w:ind w:right="114"/>
        <w:rPr>
          <w:color w:val="58595B"/>
          <w:sz w:val="20"/>
        </w:rPr>
      </w:pPr>
      <w:r>
        <w:rPr>
          <w:color w:val="434344"/>
          <w:sz w:val="20"/>
          <w:lang w:bidi="es-ES"/>
        </w:rPr>
        <w:t>de ser posible, incluir los gastos per cápita desglosados por región a fin de medir la equidad y calidad.</w:t>
      </w:r>
    </w:p>
    <w:p w14:paraId="7DE543C8" w14:textId="77777777" w:rsidR="00E35672" w:rsidRDefault="00E35672" w:rsidP="007A24B1">
      <w:pPr>
        <w:rPr>
          <w:sz w:val="20"/>
        </w:rPr>
      </w:pPr>
    </w:p>
    <w:p w14:paraId="5F664C7C" w14:textId="77777777" w:rsidR="006449B9" w:rsidRDefault="006449B9" w:rsidP="007A24B1">
      <w:pPr>
        <w:rPr>
          <w:sz w:val="20"/>
        </w:rPr>
        <w:sectPr w:rsidR="006449B9">
          <w:headerReference w:type="default" r:id="rId12"/>
          <w:pgSz w:w="12240" w:h="15840"/>
          <w:pgMar w:top="900" w:right="1020" w:bottom="280" w:left="1020" w:header="716" w:footer="0" w:gutter="0"/>
          <w:pgNumType w:start="2"/>
          <w:cols w:space="720"/>
        </w:sectPr>
      </w:pPr>
    </w:p>
    <w:p w14:paraId="7291228F" w14:textId="77777777" w:rsidR="00E35672" w:rsidRDefault="00E35672" w:rsidP="007A24B1">
      <w:pPr>
        <w:pStyle w:val="Textoindependiente"/>
        <w:spacing w:before="10"/>
        <w:rPr>
          <w:sz w:val="18"/>
        </w:rPr>
      </w:pPr>
    </w:p>
    <w:p w14:paraId="44E7CF45" w14:textId="77777777" w:rsidR="00E35672" w:rsidRDefault="00960D53" w:rsidP="007A24B1">
      <w:pPr>
        <w:pStyle w:val="Textoindependiente"/>
        <w:ind w:left="109"/>
        <w:rPr>
          <w:sz w:val="2"/>
        </w:rPr>
      </w:pPr>
      <w:r>
        <w:rPr>
          <w:sz w:val="2"/>
          <w:lang w:bidi="es-ES"/>
        </w:rPr>
      </w:r>
      <w:r>
        <w:rPr>
          <w:sz w:val="2"/>
          <w:lang w:bidi="es-ES"/>
        </w:rPr>
        <w:pict w14:anchorId="319E5381">
          <v:group id="_x0000_s1034" alt="" style="width:498.65pt;height:.35pt;mso-position-horizontal-relative:char;mso-position-vertical-relative:line" coordsize="9973,7">
            <v:line id="_x0000_s1035" alt="" style="position:absolute" from="0,3" to="9972,3" strokecolor="#939598" strokeweight=".35pt"/>
            <w10:anchorlock/>
          </v:group>
        </w:pict>
      </w:r>
    </w:p>
    <w:p w14:paraId="0C0765B5" w14:textId="77777777" w:rsidR="00E35672" w:rsidRDefault="00E35672" w:rsidP="007A24B1">
      <w:pPr>
        <w:pStyle w:val="Textoindependiente"/>
        <w:spacing w:before="10"/>
        <w:rPr>
          <w:sz w:val="3"/>
        </w:rPr>
      </w:pPr>
    </w:p>
    <w:p w14:paraId="12D589DA" w14:textId="77777777" w:rsidR="00E35672" w:rsidRDefault="00960D53" w:rsidP="007A24B1">
      <w:pPr>
        <w:pStyle w:val="Textoindependiente"/>
        <w:ind w:left="98"/>
      </w:pPr>
      <w:r>
        <w:rPr>
          <w:lang w:bidi="es-ES"/>
        </w:rPr>
      </w:r>
      <w:r>
        <w:rPr>
          <w:lang w:bidi="es-ES"/>
        </w:rPr>
        <w:pict w14:anchorId="01EC6FF2">
          <v:group id="_x0000_s1030" alt="" style="width:498.65pt;height:20.75pt;mso-position-horizontal-relative:char;mso-position-vertical-relative:line" coordsize="9973,415">
            <v:line id="_x0000_s1031" alt="" style="position:absolute" from="0,411" to="9972,411" strokecolor="#939598" strokeweight=".35pt"/>
            <v:shape id="_x0000_s1032" type="#_x0000_t75" alt="" style="position:absolute;width:569;height:355">
              <v:imagedata r:id="rId10" o:title=""/>
            </v:shape>
            <v:shape id="_x0000_s1033" type="#_x0000_t202" alt="" style="position:absolute;width:9973;height:415;mso-wrap-style:square;v-text-anchor:top" filled="f" stroked="f">
              <v:textbox inset="0,0,0,0">
                <w:txbxContent>
                  <w:p w14:paraId="4734CE9E" w14:textId="77777777" w:rsidR="00E35672" w:rsidRDefault="003125F6">
                    <w:pPr>
                      <w:spacing w:before="24"/>
                      <w:ind w:left="680"/>
                      <w:rPr>
                        <w:b/>
                        <w:sz w:val="24"/>
                      </w:rPr>
                    </w:pPr>
                    <w:r>
                      <w:rPr>
                        <w:b/>
                        <w:color w:val="58595B"/>
                        <w:sz w:val="24"/>
                        <w:lang w:bidi="es-ES"/>
                      </w:rPr>
                      <w:t>Recomendación 2</w:t>
                    </w:r>
                  </w:p>
                </w:txbxContent>
              </v:textbox>
            </v:shape>
            <w10:anchorlock/>
          </v:group>
        </w:pict>
      </w:r>
    </w:p>
    <w:p w14:paraId="25163368" w14:textId="77777777" w:rsidR="00E35672" w:rsidRDefault="003125F6" w:rsidP="00321411">
      <w:pPr>
        <w:pStyle w:val="Textoindependiente"/>
        <w:spacing w:before="92"/>
        <w:ind w:left="113" w:right="113"/>
        <w:jc w:val="both"/>
      </w:pPr>
      <w:r>
        <w:rPr>
          <w:color w:val="434344"/>
          <w:lang w:bidi="es-ES"/>
        </w:rPr>
        <w:t>Velar por que las partes interesadas del subsector de la EPI conozcan los procesos de examen anual, así como las características de dichos procesos. Este conocimiento es necesario para poder participar eficazmente en el diseño de la estructura y el enfoque del examen anual, incluida la forma en que se presentará el subsector de la EPI.</w:t>
      </w:r>
    </w:p>
    <w:p w14:paraId="5FBEF3FF" w14:textId="77777777" w:rsidR="00E35672" w:rsidRDefault="00E35672" w:rsidP="007A24B1">
      <w:pPr>
        <w:pStyle w:val="Textoindependiente"/>
        <w:rPr>
          <w:sz w:val="22"/>
        </w:rPr>
      </w:pPr>
    </w:p>
    <w:p w14:paraId="3BA367F6" w14:textId="77777777" w:rsidR="00E35672" w:rsidRDefault="00E35672" w:rsidP="007A24B1">
      <w:pPr>
        <w:pStyle w:val="Textoindependiente"/>
        <w:spacing w:before="10"/>
        <w:rPr>
          <w:sz w:val="21"/>
        </w:rPr>
      </w:pPr>
    </w:p>
    <w:p w14:paraId="06D8188B" w14:textId="77777777" w:rsidR="00E35672" w:rsidRDefault="003125F6" w:rsidP="007A24B1">
      <w:pPr>
        <w:pStyle w:val="Prrafodelista"/>
        <w:numPr>
          <w:ilvl w:val="0"/>
          <w:numId w:val="19"/>
        </w:numPr>
        <w:tabs>
          <w:tab w:val="left" w:pos="681"/>
        </w:tabs>
        <w:spacing w:before="1"/>
        <w:ind w:right="111"/>
        <w:jc w:val="both"/>
        <w:rPr>
          <w:sz w:val="20"/>
        </w:rPr>
      </w:pPr>
      <w:r>
        <w:rPr>
          <w:color w:val="434344"/>
          <w:sz w:val="20"/>
          <w:lang w:bidi="es-ES"/>
        </w:rPr>
        <w:t>Esto es importante para garantizar que el proceso del examen y las sesiones tengan en cuenta la EPI como una esfera prioritaria, ya sea a través de sesiones separadas o dentro de sesiones temáticas.</w:t>
      </w:r>
    </w:p>
    <w:p w14:paraId="2B324D9C" w14:textId="77777777" w:rsidR="00E35672" w:rsidRDefault="00E35672" w:rsidP="007A24B1">
      <w:pPr>
        <w:pStyle w:val="Textoindependiente"/>
        <w:rPr>
          <w:sz w:val="22"/>
        </w:rPr>
      </w:pPr>
    </w:p>
    <w:p w14:paraId="43D82D97" w14:textId="77777777" w:rsidR="00E35672" w:rsidRDefault="00E35672" w:rsidP="007A24B1">
      <w:pPr>
        <w:pStyle w:val="Textoindependiente"/>
        <w:spacing w:before="11"/>
        <w:rPr>
          <w:sz w:val="21"/>
        </w:rPr>
      </w:pPr>
    </w:p>
    <w:p w14:paraId="5759E47A" w14:textId="77777777" w:rsidR="00E35672" w:rsidRDefault="003125F6" w:rsidP="007A24B1">
      <w:pPr>
        <w:pStyle w:val="Prrafodelista"/>
        <w:numPr>
          <w:ilvl w:val="0"/>
          <w:numId w:val="19"/>
        </w:numPr>
        <w:tabs>
          <w:tab w:val="left" w:pos="681"/>
        </w:tabs>
        <w:ind w:right="112"/>
        <w:jc w:val="both"/>
        <w:rPr>
          <w:sz w:val="20"/>
        </w:rPr>
      </w:pPr>
      <w:r>
        <w:rPr>
          <w:color w:val="434344"/>
          <w:sz w:val="20"/>
          <w:lang w:bidi="es-ES"/>
        </w:rPr>
        <w:t>Por lo general, la decisión sobre la organización de las sesiones del examen recae en el Departamento de Planificación de los Ministerios de Educación, con aportaciones de los asociados (por ejemplo, los miembros de los grupos educativos locales, organizaciones no gubernamentales, etc.).</w:t>
      </w:r>
    </w:p>
    <w:p w14:paraId="2E9F085E" w14:textId="77777777" w:rsidR="00E35672" w:rsidRDefault="00E35672" w:rsidP="007A24B1">
      <w:pPr>
        <w:pStyle w:val="Textoindependiente"/>
        <w:rPr>
          <w:sz w:val="22"/>
        </w:rPr>
      </w:pPr>
    </w:p>
    <w:p w14:paraId="2610D524" w14:textId="77777777" w:rsidR="00E35672" w:rsidRDefault="00E35672" w:rsidP="007A24B1">
      <w:pPr>
        <w:pStyle w:val="Textoindependiente"/>
        <w:spacing w:before="10"/>
        <w:rPr>
          <w:sz w:val="21"/>
        </w:rPr>
      </w:pPr>
    </w:p>
    <w:p w14:paraId="6ECD9B7E" w14:textId="77777777" w:rsidR="00E35672" w:rsidRDefault="003125F6" w:rsidP="007A24B1">
      <w:pPr>
        <w:pStyle w:val="Prrafodelista"/>
        <w:numPr>
          <w:ilvl w:val="0"/>
          <w:numId w:val="19"/>
        </w:numPr>
        <w:tabs>
          <w:tab w:val="left" w:pos="681"/>
        </w:tabs>
        <w:ind w:right="112"/>
        <w:jc w:val="both"/>
        <w:rPr>
          <w:sz w:val="20"/>
        </w:rPr>
      </w:pPr>
      <w:r>
        <w:rPr>
          <w:color w:val="434344"/>
          <w:sz w:val="20"/>
          <w:lang w:bidi="es-ES"/>
        </w:rPr>
        <w:t>El Grupo de Trabajo Técnico sobre EPI tendrá que interceder ante el Ministerio de Educación y los asociados para el desarrollo que apoyan directamente los esfuerzos gubernamentales de planificación, con el fin de garantizar que se ponga de relieve y se preste la debida atención al subsector de la EPI durante las sesiones.</w:t>
      </w:r>
    </w:p>
    <w:p w14:paraId="60D333AC" w14:textId="77777777" w:rsidR="00E35672" w:rsidRDefault="00E35672" w:rsidP="007A24B1">
      <w:pPr>
        <w:pStyle w:val="Textoindependiente"/>
        <w:rPr>
          <w:sz w:val="22"/>
        </w:rPr>
      </w:pPr>
    </w:p>
    <w:p w14:paraId="217233EA" w14:textId="77777777" w:rsidR="00E35672" w:rsidRDefault="00E35672" w:rsidP="007A24B1">
      <w:pPr>
        <w:pStyle w:val="Textoindependiente"/>
        <w:spacing w:before="11"/>
        <w:rPr>
          <w:sz w:val="21"/>
        </w:rPr>
      </w:pPr>
    </w:p>
    <w:p w14:paraId="353E5719" w14:textId="77777777" w:rsidR="00E35672" w:rsidRDefault="003125F6" w:rsidP="007A24B1">
      <w:pPr>
        <w:pStyle w:val="Prrafodelista"/>
        <w:numPr>
          <w:ilvl w:val="0"/>
          <w:numId w:val="19"/>
        </w:numPr>
        <w:tabs>
          <w:tab w:val="left" w:pos="681"/>
        </w:tabs>
        <w:ind w:right="112"/>
        <w:jc w:val="both"/>
        <w:rPr>
          <w:sz w:val="20"/>
        </w:rPr>
      </w:pPr>
      <w:r>
        <w:rPr>
          <w:color w:val="434344"/>
          <w:sz w:val="20"/>
          <w:lang w:bidi="es-ES"/>
        </w:rPr>
        <w:t>En función de cómo se organizan las reuniones del examen anual, es posible que no todos los miembros del Grupo de Trabajo Técnico sobre EPI puedan participar en ellas. En estos casos, será fundamental que el Grupo de Trabajo Técnico sobre EPI se ponga de acuerdo y nombre a sus representantes para las reuniones.</w:t>
      </w:r>
    </w:p>
    <w:p w14:paraId="33A031AD" w14:textId="77777777" w:rsidR="00E35672" w:rsidRDefault="00E35672" w:rsidP="007A24B1">
      <w:pPr>
        <w:pStyle w:val="Textoindependiente"/>
        <w:rPr>
          <w:sz w:val="22"/>
        </w:rPr>
      </w:pPr>
    </w:p>
    <w:p w14:paraId="239E7A4A" w14:textId="77777777" w:rsidR="00E35672" w:rsidRDefault="00E35672" w:rsidP="007A24B1">
      <w:pPr>
        <w:pStyle w:val="Textoindependiente"/>
        <w:spacing w:before="10"/>
        <w:rPr>
          <w:sz w:val="21"/>
        </w:rPr>
      </w:pPr>
    </w:p>
    <w:p w14:paraId="11C62474" w14:textId="77777777" w:rsidR="00E35672" w:rsidRDefault="003125F6" w:rsidP="007A24B1">
      <w:pPr>
        <w:pStyle w:val="Prrafodelista"/>
        <w:numPr>
          <w:ilvl w:val="0"/>
          <w:numId w:val="19"/>
        </w:numPr>
        <w:tabs>
          <w:tab w:val="left" w:pos="681"/>
        </w:tabs>
        <w:spacing w:before="1"/>
        <w:ind w:right="109"/>
        <w:jc w:val="both"/>
        <w:rPr>
          <w:sz w:val="20"/>
        </w:rPr>
      </w:pPr>
      <w:r>
        <w:rPr>
          <w:color w:val="434344"/>
          <w:sz w:val="20"/>
          <w:lang w:bidi="es-ES"/>
        </w:rPr>
        <w:t>Si la EPI ya se encuentra claramente reflejada dentro del marco de resultados del plan del sector educativo (PSE), esto también contribuirá a determinar la estructura para las sesiones del examen. En resumen, incluir la EPI como una esfera prioritaria en todo el examen anual depende de varios factores, tales como la promoción, el liderazgo, la voluntad política y el posicionamiento estratégico dentro del marco de resultados del PSE.</w:t>
      </w:r>
    </w:p>
    <w:p w14:paraId="79713920" w14:textId="77777777" w:rsidR="00E35672" w:rsidRDefault="00E35672" w:rsidP="007A24B1">
      <w:pPr>
        <w:pStyle w:val="Textoindependiente"/>
        <w:rPr>
          <w:sz w:val="22"/>
        </w:rPr>
      </w:pPr>
    </w:p>
    <w:p w14:paraId="07A9694E" w14:textId="77777777" w:rsidR="00E35672" w:rsidRDefault="00E35672" w:rsidP="007A24B1">
      <w:pPr>
        <w:pStyle w:val="Textoindependiente"/>
        <w:spacing w:before="9"/>
        <w:rPr>
          <w:sz w:val="21"/>
        </w:rPr>
      </w:pPr>
    </w:p>
    <w:p w14:paraId="09397F60" w14:textId="77777777" w:rsidR="00E35672" w:rsidRDefault="003125F6" w:rsidP="007A24B1">
      <w:pPr>
        <w:pStyle w:val="Prrafodelista"/>
        <w:numPr>
          <w:ilvl w:val="0"/>
          <w:numId w:val="19"/>
        </w:numPr>
        <w:tabs>
          <w:tab w:val="left" w:pos="681"/>
        </w:tabs>
        <w:spacing w:before="1"/>
        <w:ind w:right="110"/>
        <w:jc w:val="both"/>
        <w:rPr>
          <w:sz w:val="20"/>
        </w:rPr>
      </w:pPr>
      <w:r>
        <w:rPr>
          <w:color w:val="434344"/>
          <w:sz w:val="20"/>
          <w:lang w:bidi="es-ES"/>
        </w:rPr>
        <w:t>Asimismo, las partes interesadas en la EPI deben entender los procesos de planificación de los exámenes anuales, con el fin de garantizar que los objetivos y la información que serán examinados para el subsector de la EPI estén claramente identificados y documentados antes de la sesión o reunión. Véase el cuadro 3 en el anexo (más abajo). Este cuadro presenta un resumen de las características del proceso para un examen sectorial conjunto, así como preguntas orientativas para apoyar al Grupo de Trabajo Técnico sobre EPI en su preparación para dicho proceso.</w:t>
      </w:r>
    </w:p>
    <w:p w14:paraId="7DD83587" w14:textId="77777777" w:rsidR="00E35672" w:rsidRDefault="00E35672" w:rsidP="007A24B1">
      <w:pPr>
        <w:jc w:val="both"/>
        <w:rPr>
          <w:sz w:val="20"/>
        </w:rPr>
        <w:sectPr w:rsidR="00E35672">
          <w:pgSz w:w="12240" w:h="15840"/>
          <w:pgMar w:top="900" w:right="1020" w:bottom="280" w:left="1020" w:header="716" w:footer="0" w:gutter="0"/>
          <w:cols w:space="720"/>
        </w:sectPr>
      </w:pPr>
    </w:p>
    <w:p w14:paraId="6A8A69F6" w14:textId="66C039AF" w:rsidR="00E35672" w:rsidRDefault="003125F6" w:rsidP="00B426B4">
      <w:pPr>
        <w:spacing w:before="70"/>
        <w:jc w:val="center"/>
        <w:rPr>
          <w:sz w:val="28"/>
        </w:rPr>
      </w:pPr>
      <w:r>
        <w:rPr>
          <w:color w:val="913592"/>
          <w:sz w:val="28"/>
          <w:lang w:bidi="es-ES"/>
        </w:rPr>
        <w:lastRenderedPageBreak/>
        <w:t>ANEXO</w:t>
      </w:r>
    </w:p>
    <w:p w14:paraId="5B0FEE30" w14:textId="77777777" w:rsidR="00E35672" w:rsidRDefault="003125F6" w:rsidP="00B426B4">
      <w:pPr>
        <w:jc w:val="center"/>
        <w:rPr>
          <w:b/>
          <w:sz w:val="28"/>
        </w:rPr>
      </w:pPr>
      <w:r>
        <w:rPr>
          <w:b/>
          <w:color w:val="913592"/>
          <w:spacing w:val="-5"/>
          <w:sz w:val="28"/>
          <w:lang w:bidi="es-ES"/>
        </w:rPr>
        <w:t>CUADRO 2</w:t>
      </w:r>
    </w:p>
    <w:p w14:paraId="0D318FE4" w14:textId="77777777" w:rsidR="00E35672" w:rsidRDefault="00E35672" w:rsidP="00B426B4">
      <w:pPr>
        <w:pStyle w:val="Textoindependiente"/>
        <w:spacing w:before="11"/>
        <w:jc w:val="center"/>
        <w:rPr>
          <w:b/>
          <w:sz w:val="27"/>
        </w:rPr>
      </w:pPr>
    </w:p>
    <w:p w14:paraId="4169D93F" w14:textId="7C0BDDF8" w:rsidR="00E35672" w:rsidRDefault="003125F6" w:rsidP="00B426B4">
      <w:pPr>
        <w:pStyle w:val="Textoindependiente"/>
        <w:ind w:left="273" w:right="6"/>
        <w:rPr>
          <w:color w:val="57585B"/>
          <w:lang w:bidi="es-ES"/>
        </w:rPr>
      </w:pPr>
      <w:r>
        <w:rPr>
          <w:color w:val="57585B"/>
          <w:lang w:bidi="es-ES"/>
        </w:rPr>
        <w:t xml:space="preserve">El cuadro 2 ofrece preguntas adicionales para ayudar a los países a prepararse para analizar el subsector de la EPI a efectos del examen sectorial conjunto. Las preguntas están adaptadas de la </w:t>
      </w:r>
      <w:hyperlink r:id="rId13">
        <w:proofErr w:type="spellStart"/>
        <w:r>
          <w:rPr>
            <w:i/>
            <w:color w:val="57585B"/>
            <w:u w:val="single" w:color="57585B"/>
            <w:lang w:bidi="es-ES"/>
          </w:rPr>
          <w:t>Practical</w:t>
        </w:r>
        <w:proofErr w:type="spellEnd"/>
        <w:r>
          <w:rPr>
            <w:i/>
            <w:color w:val="57585B"/>
            <w:u w:val="single" w:color="57585B"/>
            <w:lang w:bidi="es-ES"/>
          </w:rPr>
          <w:t xml:space="preserve"> </w:t>
        </w:r>
        <w:proofErr w:type="spellStart"/>
        <w:r>
          <w:rPr>
            <w:i/>
            <w:color w:val="57585B"/>
            <w:u w:val="single" w:color="57585B"/>
            <w:lang w:bidi="es-ES"/>
          </w:rPr>
          <w:t>Guide</w:t>
        </w:r>
        <w:proofErr w:type="spellEnd"/>
        <w:r>
          <w:rPr>
            <w:i/>
            <w:color w:val="57585B"/>
            <w:u w:val="single" w:color="57585B"/>
            <w:lang w:bidi="es-ES"/>
          </w:rPr>
          <w:t xml:space="preserve"> </w:t>
        </w:r>
        <w:proofErr w:type="spellStart"/>
        <w:r>
          <w:rPr>
            <w:i/>
            <w:color w:val="57585B"/>
            <w:u w:val="single" w:color="57585B"/>
            <w:lang w:bidi="es-ES"/>
          </w:rPr>
          <w:t>for</w:t>
        </w:r>
        <w:proofErr w:type="spellEnd"/>
        <w:r>
          <w:rPr>
            <w:i/>
            <w:color w:val="57585B"/>
            <w:u w:val="single" w:color="57585B"/>
            <w:lang w:bidi="es-ES"/>
          </w:rPr>
          <w:t xml:space="preserve"> </w:t>
        </w:r>
        <w:proofErr w:type="spellStart"/>
        <w:r>
          <w:rPr>
            <w:i/>
            <w:color w:val="57585B"/>
            <w:u w:val="single" w:color="57585B"/>
            <w:lang w:bidi="es-ES"/>
          </w:rPr>
          <w:t>Effective</w:t>
        </w:r>
        <w:proofErr w:type="spellEnd"/>
        <w:r>
          <w:rPr>
            <w:i/>
            <w:color w:val="57585B"/>
            <w:u w:val="single" w:color="57585B"/>
            <w:lang w:bidi="es-ES"/>
          </w:rPr>
          <w:t xml:space="preserve"> </w:t>
        </w:r>
        <w:proofErr w:type="spellStart"/>
        <w:r>
          <w:rPr>
            <w:i/>
            <w:color w:val="57585B"/>
            <w:u w:val="single" w:color="57585B"/>
            <w:lang w:bidi="es-ES"/>
          </w:rPr>
          <w:t>Joint</w:t>
        </w:r>
        <w:proofErr w:type="spellEnd"/>
        <w:r>
          <w:rPr>
            <w:i/>
            <w:color w:val="57585B"/>
            <w:u w:val="single" w:color="57585B"/>
            <w:lang w:bidi="es-ES"/>
          </w:rPr>
          <w:t xml:space="preserve"> Sector </w:t>
        </w:r>
        <w:proofErr w:type="spellStart"/>
        <w:r>
          <w:rPr>
            <w:i/>
            <w:color w:val="57585B"/>
            <w:u w:val="single" w:color="57585B"/>
            <w:lang w:bidi="es-ES"/>
          </w:rPr>
          <w:t>Reviews</w:t>
        </w:r>
        <w:proofErr w:type="spellEnd"/>
        <w:r>
          <w:rPr>
            <w:i/>
            <w:color w:val="57585B"/>
            <w:u w:val="single" w:color="57585B"/>
            <w:lang w:bidi="es-ES"/>
          </w:rPr>
          <w:t xml:space="preserve"> in </w:t>
        </w:r>
        <w:proofErr w:type="spellStart"/>
        <w:r>
          <w:rPr>
            <w:i/>
            <w:color w:val="57585B"/>
            <w:u w:val="single" w:color="57585B"/>
            <w:lang w:bidi="es-ES"/>
          </w:rPr>
          <w:t>the</w:t>
        </w:r>
        <w:proofErr w:type="spellEnd"/>
        <w:r>
          <w:rPr>
            <w:i/>
            <w:color w:val="57585B"/>
            <w:u w:val="single" w:color="57585B"/>
            <w:lang w:bidi="es-ES"/>
          </w:rPr>
          <w:t xml:space="preserve"> </w:t>
        </w:r>
        <w:proofErr w:type="spellStart"/>
        <w:r>
          <w:rPr>
            <w:i/>
            <w:color w:val="57585B"/>
            <w:u w:val="single" w:color="57585B"/>
            <w:lang w:bidi="es-ES"/>
          </w:rPr>
          <w:t>Education</w:t>
        </w:r>
        <w:proofErr w:type="spellEnd"/>
        <w:r>
          <w:rPr>
            <w:i/>
            <w:color w:val="57585B"/>
            <w:u w:val="single" w:color="57585B"/>
            <w:lang w:bidi="es-ES"/>
          </w:rPr>
          <w:t xml:space="preserve"> Sector</w:t>
        </w:r>
      </w:hyperlink>
      <w:r>
        <w:rPr>
          <w:color w:val="57585B"/>
          <w:lang w:bidi="es-ES"/>
        </w:rPr>
        <w:t xml:space="preserve"> (Guía práctica para la realización eficaz de exámenes sectoriales conjuntos en el sector educativo) de la Alianza Mundial para la Educación.</w:t>
      </w:r>
    </w:p>
    <w:p w14:paraId="6E4F76AA" w14:textId="77777777" w:rsidR="003849BC" w:rsidRDefault="003849BC" w:rsidP="00B426B4">
      <w:pPr>
        <w:pStyle w:val="Textoindependiente"/>
        <w:ind w:left="273" w:right="6"/>
      </w:pPr>
    </w:p>
    <w:p w14:paraId="51A6779E" w14:textId="77777777" w:rsidR="00E35672" w:rsidRDefault="00E35672" w:rsidP="007A24B1">
      <w:pPr>
        <w:pStyle w:val="Textoindependiente"/>
        <w:spacing w:before="8"/>
        <w:rPr>
          <w:b/>
          <w:sz w:val="8"/>
        </w:rPr>
      </w:pPr>
    </w:p>
    <w:tbl>
      <w:tblPr>
        <w:tblStyle w:val="TableNormal1"/>
        <w:tblW w:w="0" w:type="auto"/>
        <w:tblInd w:w="28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4826"/>
        <w:gridCol w:w="6482"/>
      </w:tblGrid>
      <w:tr w:rsidR="00443B10" w14:paraId="46226671" w14:textId="77777777" w:rsidTr="000A4295">
        <w:trPr>
          <w:trHeight w:val="499"/>
        </w:trPr>
        <w:tc>
          <w:tcPr>
            <w:tcW w:w="13572" w:type="dxa"/>
            <w:gridSpan w:val="3"/>
            <w:tcBorders>
              <w:left w:val="nil"/>
              <w:right w:val="nil"/>
            </w:tcBorders>
            <w:vAlign w:val="center"/>
          </w:tcPr>
          <w:p w14:paraId="39CB44FD" w14:textId="0925412B" w:rsidR="00443B10" w:rsidRPr="00443B10" w:rsidRDefault="00443B10" w:rsidP="00443B10">
            <w:pPr>
              <w:pStyle w:val="Textoindependiente"/>
              <w:jc w:val="center"/>
              <w:rPr>
                <w:sz w:val="19"/>
              </w:rPr>
            </w:pPr>
            <w:r>
              <w:rPr>
                <w:b/>
                <w:color w:val="57585B"/>
                <w:sz w:val="18"/>
                <w:lang w:bidi="es-ES"/>
              </w:rPr>
              <w:t>Cuadro 2. Preguntas sobre la EPI para orientar la presentación de informes sobre los avances realizados en el ámbito de la EPI</w:t>
            </w:r>
            <w:r>
              <w:rPr>
                <w:b/>
                <w:color w:val="57585B"/>
                <w:sz w:val="18"/>
                <w:lang w:bidi="es-ES"/>
              </w:rPr>
              <w:br/>
              <w:t xml:space="preserve"> de cara al examen anual, por ejemplo, el examen sectorial conjunto</w:t>
            </w:r>
          </w:p>
        </w:tc>
      </w:tr>
      <w:tr w:rsidR="00E35672" w14:paraId="18B304A8" w14:textId="77777777" w:rsidTr="00C6047F">
        <w:trPr>
          <w:trHeight w:val="519"/>
        </w:trPr>
        <w:tc>
          <w:tcPr>
            <w:tcW w:w="2264" w:type="dxa"/>
            <w:tcBorders>
              <w:left w:val="nil"/>
              <w:right w:val="nil"/>
            </w:tcBorders>
            <w:vAlign w:val="center"/>
          </w:tcPr>
          <w:p w14:paraId="7A47BE7D" w14:textId="77777777" w:rsidR="00E35672" w:rsidRDefault="003125F6" w:rsidP="00C6047F">
            <w:pPr>
              <w:pStyle w:val="TableParagraph"/>
              <w:spacing w:before="60"/>
              <w:jc w:val="center"/>
              <w:rPr>
                <w:b/>
                <w:sz w:val="18"/>
              </w:rPr>
            </w:pPr>
            <w:r>
              <w:rPr>
                <w:b/>
                <w:color w:val="913592"/>
                <w:sz w:val="18"/>
                <w:lang w:bidi="es-ES"/>
              </w:rPr>
              <w:t>Esferas</w:t>
            </w:r>
          </w:p>
        </w:tc>
        <w:tc>
          <w:tcPr>
            <w:tcW w:w="4826" w:type="dxa"/>
            <w:tcBorders>
              <w:left w:val="nil"/>
              <w:right w:val="nil"/>
            </w:tcBorders>
            <w:vAlign w:val="center"/>
          </w:tcPr>
          <w:p w14:paraId="2D63B64D" w14:textId="77777777" w:rsidR="00E35672" w:rsidRDefault="003125F6" w:rsidP="00C6047F">
            <w:pPr>
              <w:pStyle w:val="TableParagraph"/>
              <w:spacing w:before="60"/>
              <w:jc w:val="center"/>
              <w:rPr>
                <w:b/>
                <w:sz w:val="18"/>
              </w:rPr>
            </w:pPr>
            <w:r>
              <w:rPr>
                <w:b/>
                <w:color w:val="913592"/>
                <w:sz w:val="18"/>
                <w:lang w:bidi="es-ES"/>
              </w:rPr>
              <w:t>Orientaciones para el examen sectorial conjunto</w:t>
            </w:r>
          </w:p>
        </w:tc>
        <w:tc>
          <w:tcPr>
            <w:tcW w:w="6482" w:type="dxa"/>
            <w:tcBorders>
              <w:left w:val="nil"/>
              <w:right w:val="nil"/>
            </w:tcBorders>
            <w:vAlign w:val="center"/>
          </w:tcPr>
          <w:p w14:paraId="6555693C" w14:textId="3D48A6A5" w:rsidR="00E35672" w:rsidRDefault="003125F6" w:rsidP="00C6047F">
            <w:pPr>
              <w:pStyle w:val="TableParagraph"/>
              <w:spacing w:before="60"/>
              <w:jc w:val="center"/>
              <w:rPr>
                <w:b/>
                <w:sz w:val="18"/>
              </w:rPr>
            </w:pPr>
            <w:r>
              <w:rPr>
                <w:b/>
                <w:color w:val="913592"/>
                <w:sz w:val="18"/>
                <w:lang w:bidi="es-ES"/>
              </w:rPr>
              <w:t xml:space="preserve">Preguntas para orientar el análisis de las fuentes de datos clave: </w:t>
            </w:r>
            <w:r w:rsidR="00C6047F">
              <w:rPr>
                <w:b/>
                <w:color w:val="913592"/>
                <w:sz w:val="18"/>
                <w:lang w:bidi="es-ES"/>
              </w:rPr>
              <w:br/>
            </w:r>
            <w:r>
              <w:rPr>
                <w:b/>
                <w:color w:val="913592"/>
                <w:sz w:val="18"/>
                <w:lang w:bidi="es-ES"/>
              </w:rPr>
              <w:t>Preguntas específicamente centradas en la EPI</w:t>
            </w:r>
          </w:p>
        </w:tc>
      </w:tr>
      <w:tr w:rsidR="00E35672" w14:paraId="3C443B4E" w14:textId="77777777" w:rsidTr="00D44422">
        <w:trPr>
          <w:trHeight w:val="1665"/>
        </w:trPr>
        <w:tc>
          <w:tcPr>
            <w:tcW w:w="2264" w:type="dxa"/>
            <w:tcBorders>
              <w:left w:val="nil"/>
              <w:right w:val="nil"/>
            </w:tcBorders>
            <w:shd w:val="clear" w:color="auto" w:fill="F1F2F2"/>
            <w:vAlign w:val="center"/>
          </w:tcPr>
          <w:p w14:paraId="41342941" w14:textId="17229A3F" w:rsidR="00E35672" w:rsidRDefault="003125F6" w:rsidP="00D44422">
            <w:pPr>
              <w:pStyle w:val="TableParagraph"/>
              <w:ind w:left="57"/>
              <w:jc w:val="center"/>
              <w:rPr>
                <w:b/>
                <w:sz w:val="18"/>
              </w:rPr>
            </w:pPr>
            <w:r>
              <w:rPr>
                <w:b/>
                <w:color w:val="913592"/>
                <w:sz w:val="18"/>
                <w:lang w:bidi="es-ES"/>
              </w:rPr>
              <w:t xml:space="preserve">Encuestas de </w:t>
            </w:r>
            <w:r w:rsidR="00350997">
              <w:rPr>
                <w:b/>
                <w:color w:val="913592"/>
                <w:sz w:val="18"/>
                <w:lang w:bidi="es-ES"/>
              </w:rPr>
              <w:br/>
            </w:r>
            <w:r>
              <w:rPr>
                <w:b/>
                <w:color w:val="913592"/>
                <w:sz w:val="18"/>
                <w:lang w:bidi="es-ES"/>
              </w:rPr>
              <w:t xml:space="preserve">hogares y censos </w:t>
            </w:r>
            <w:r w:rsidR="00350997">
              <w:rPr>
                <w:b/>
                <w:color w:val="913592"/>
                <w:sz w:val="18"/>
                <w:lang w:bidi="es-ES"/>
              </w:rPr>
              <w:br/>
            </w:r>
            <w:r>
              <w:rPr>
                <w:b/>
                <w:color w:val="913592"/>
                <w:sz w:val="18"/>
                <w:lang w:bidi="es-ES"/>
              </w:rPr>
              <w:t>de población</w:t>
            </w:r>
          </w:p>
        </w:tc>
        <w:tc>
          <w:tcPr>
            <w:tcW w:w="4826" w:type="dxa"/>
            <w:tcBorders>
              <w:left w:val="nil"/>
            </w:tcBorders>
          </w:tcPr>
          <w:p w14:paraId="091F82E6" w14:textId="77777777" w:rsidR="00E35672" w:rsidRDefault="003125F6" w:rsidP="00043D14">
            <w:pPr>
              <w:pStyle w:val="TableParagraph"/>
              <w:tabs>
                <w:tab w:val="left" w:pos="4690"/>
              </w:tabs>
              <w:spacing w:before="155"/>
              <w:ind w:left="113" w:right="351"/>
              <w:rPr>
                <w:sz w:val="18"/>
              </w:rPr>
            </w:pPr>
            <w:r>
              <w:rPr>
                <w:color w:val="57585B"/>
                <w:sz w:val="18"/>
                <w:lang w:bidi="es-ES"/>
              </w:rPr>
              <w:t>Se pueden obtener información y datos cuantitativos y cualitativos a partir de censos de población, encuestas y bases de datos nacionales.</w:t>
            </w:r>
          </w:p>
        </w:tc>
        <w:tc>
          <w:tcPr>
            <w:tcW w:w="6482" w:type="dxa"/>
            <w:tcBorders>
              <w:right w:val="nil"/>
            </w:tcBorders>
          </w:tcPr>
          <w:p w14:paraId="18ED74B1" w14:textId="77777777" w:rsidR="00E35672" w:rsidRDefault="003125F6" w:rsidP="00366521">
            <w:pPr>
              <w:pStyle w:val="TableParagraph"/>
              <w:numPr>
                <w:ilvl w:val="0"/>
                <w:numId w:val="18"/>
              </w:numPr>
              <w:tabs>
                <w:tab w:val="left" w:pos="393"/>
              </w:tabs>
              <w:spacing w:before="155"/>
              <w:ind w:right="100"/>
              <w:rPr>
                <w:sz w:val="18"/>
              </w:rPr>
            </w:pPr>
            <w:r>
              <w:rPr>
                <w:color w:val="57585B"/>
                <w:sz w:val="18"/>
                <w:lang w:bidi="es-ES"/>
              </w:rPr>
              <w:t>¿Hay datos cuantitativos disponibles en censos escolares, EMIS, censos nacionales o encuestas de hogares para fundamentar la presentación de informes con relación al plan de trabajo anual?</w:t>
            </w:r>
          </w:p>
          <w:p w14:paraId="68A27A8C" w14:textId="77777777" w:rsidR="00E35672" w:rsidRDefault="003125F6" w:rsidP="00366521">
            <w:pPr>
              <w:pStyle w:val="TableParagraph"/>
              <w:numPr>
                <w:ilvl w:val="0"/>
                <w:numId w:val="18"/>
              </w:numPr>
              <w:tabs>
                <w:tab w:val="left" w:pos="392"/>
              </w:tabs>
              <w:spacing w:before="114"/>
              <w:ind w:right="100"/>
              <w:rPr>
                <w:sz w:val="18"/>
              </w:rPr>
            </w:pPr>
            <w:r>
              <w:rPr>
                <w:color w:val="57585B"/>
                <w:sz w:val="18"/>
                <w:lang w:bidi="es-ES"/>
              </w:rPr>
              <w:t>¿Hay datos cualitativos disponibles en informes de diagnóstico, análisis, informes anuales, etc. para fundamentar los informes con respecto al plan de trabajo anual?</w:t>
            </w:r>
          </w:p>
        </w:tc>
      </w:tr>
      <w:tr w:rsidR="00E35672" w14:paraId="36CFE85B" w14:textId="77777777" w:rsidTr="00350997">
        <w:trPr>
          <w:trHeight w:val="3773"/>
        </w:trPr>
        <w:tc>
          <w:tcPr>
            <w:tcW w:w="2264" w:type="dxa"/>
            <w:tcBorders>
              <w:left w:val="nil"/>
              <w:right w:val="nil"/>
            </w:tcBorders>
            <w:shd w:val="clear" w:color="auto" w:fill="F1F2F2"/>
            <w:vAlign w:val="center"/>
          </w:tcPr>
          <w:p w14:paraId="79CF58F1" w14:textId="77777777" w:rsidR="00E35672" w:rsidRDefault="003125F6" w:rsidP="00350997">
            <w:pPr>
              <w:pStyle w:val="TableParagraph"/>
              <w:jc w:val="center"/>
              <w:rPr>
                <w:b/>
                <w:sz w:val="18"/>
              </w:rPr>
            </w:pPr>
            <w:r>
              <w:rPr>
                <w:b/>
                <w:color w:val="913592"/>
                <w:sz w:val="18"/>
                <w:lang w:bidi="es-ES"/>
              </w:rPr>
              <w:t>FMIS y documentación presupuestaria</w:t>
            </w:r>
          </w:p>
        </w:tc>
        <w:tc>
          <w:tcPr>
            <w:tcW w:w="4826" w:type="dxa"/>
            <w:tcBorders>
              <w:left w:val="nil"/>
            </w:tcBorders>
          </w:tcPr>
          <w:p w14:paraId="2293FD67" w14:textId="5DF449A6" w:rsidR="00E35672" w:rsidRDefault="003125F6" w:rsidP="00043D14">
            <w:pPr>
              <w:pStyle w:val="TableParagraph"/>
              <w:tabs>
                <w:tab w:val="left" w:pos="4690"/>
              </w:tabs>
              <w:spacing w:before="155"/>
              <w:ind w:left="113" w:right="640"/>
              <w:rPr>
                <w:color w:val="57585B"/>
                <w:sz w:val="18"/>
                <w:lang w:bidi="es-ES"/>
              </w:rPr>
            </w:pPr>
            <w:r>
              <w:rPr>
                <w:color w:val="57585B"/>
                <w:sz w:val="18"/>
                <w:lang w:bidi="es-ES"/>
              </w:rPr>
              <w:t>Muchos países mantienen o se encuentran en proceso de creación de sistemas de información financiera y administrativa (FMIS) integrados en todos los sectores del gobierno.</w:t>
            </w:r>
          </w:p>
          <w:p w14:paraId="7FBA4DE7" w14:textId="77777777" w:rsidR="00043D14" w:rsidRDefault="00043D14" w:rsidP="00043D14">
            <w:pPr>
              <w:pStyle w:val="TableParagraph"/>
              <w:tabs>
                <w:tab w:val="left" w:pos="4690"/>
              </w:tabs>
              <w:spacing w:before="155"/>
              <w:ind w:left="113" w:right="640"/>
              <w:rPr>
                <w:sz w:val="18"/>
              </w:rPr>
            </w:pPr>
          </w:p>
          <w:p w14:paraId="226D28F8" w14:textId="77777777" w:rsidR="00E35672" w:rsidRDefault="003125F6" w:rsidP="00043D14">
            <w:pPr>
              <w:pStyle w:val="TableParagraph"/>
              <w:tabs>
                <w:tab w:val="left" w:pos="4690"/>
              </w:tabs>
              <w:ind w:left="113" w:right="176"/>
              <w:rPr>
                <w:sz w:val="18"/>
              </w:rPr>
            </w:pPr>
            <w:r>
              <w:rPr>
                <w:color w:val="57585B"/>
                <w:sz w:val="18"/>
                <w:lang w:bidi="es-ES"/>
              </w:rPr>
              <w:t>Estos sistemas contienen datos sobre las consignaciones presupuestarias aprobadas, fuentes de financiación, transferencias presupuestarias, gastos reales, etc. Los Ministerios de Finanzas suelen publicar informes durante el transcurso del año, una revisión a mediados de año y un informe al final del año basándose en los datos del FMIS.</w:t>
            </w:r>
          </w:p>
        </w:tc>
        <w:tc>
          <w:tcPr>
            <w:tcW w:w="6482" w:type="dxa"/>
            <w:tcBorders>
              <w:right w:val="nil"/>
            </w:tcBorders>
          </w:tcPr>
          <w:p w14:paraId="50C96FAF" w14:textId="77777777" w:rsidR="00E35672" w:rsidRDefault="003125F6" w:rsidP="00366521">
            <w:pPr>
              <w:pStyle w:val="TableParagraph"/>
              <w:numPr>
                <w:ilvl w:val="0"/>
                <w:numId w:val="17"/>
              </w:numPr>
              <w:tabs>
                <w:tab w:val="left" w:pos="393"/>
              </w:tabs>
              <w:spacing w:before="155"/>
              <w:ind w:right="100"/>
              <w:rPr>
                <w:sz w:val="18"/>
              </w:rPr>
            </w:pPr>
            <w:r>
              <w:rPr>
                <w:color w:val="57585B"/>
                <w:sz w:val="18"/>
                <w:lang w:bidi="es-ES"/>
              </w:rPr>
              <w:t>¿Existe un análisis de los gastos públicos en el que poder basarse para analizar la financiación y los gastos del subsector de la EPI?</w:t>
            </w:r>
          </w:p>
          <w:p w14:paraId="5ACE7240" w14:textId="77777777" w:rsidR="00E35672" w:rsidRDefault="003125F6" w:rsidP="00366521">
            <w:pPr>
              <w:pStyle w:val="TableParagraph"/>
              <w:numPr>
                <w:ilvl w:val="0"/>
                <w:numId w:val="17"/>
              </w:numPr>
              <w:tabs>
                <w:tab w:val="left" w:pos="392"/>
              </w:tabs>
              <w:spacing w:before="114"/>
              <w:ind w:left="391" w:right="100" w:hanging="283"/>
              <w:rPr>
                <w:sz w:val="18"/>
              </w:rPr>
            </w:pPr>
            <w:r>
              <w:rPr>
                <w:color w:val="57585B"/>
                <w:sz w:val="18"/>
                <w:lang w:bidi="es-ES"/>
              </w:rPr>
              <w:t>¿Existen datos sobre los gastos reales para poder comparar el presupuesto y los gastos?</w:t>
            </w:r>
          </w:p>
          <w:p w14:paraId="3D01EDBF" w14:textId="77777777" w:rsidR="00E35672" w:rsidRDefault="003125F6" w:rsidP="00366521">
            <w:pPr>
              <w:pStyle w:val="TableParagraph"/>
              <w:numPr>
                <w:ilvl w:val="0"/>
                <w:numId w:val="17"/>
              </w:numPr>
              <w:tabs>
                <w:tab w:val="left" w:pos="393"/>
              </w:tabs>
              <w:spacing w:before="146"/>
              <w:ind w:right="100"/>
              <w:rPr>
                <w:sz w:val="18"/>
              </w:rPr>
            </w:pPr>
            <w:r>
              <w:rPr>
                <w:color w:val="57585B"/>
                <w:sz w:val="18"/>
                <w:lang w:bidi="es-ES"/>
              </w:rPr>
              <w:t>¿Existen datos sobre las fuentes de financiación (externas e internas), incluidas las transferencias</w:t>
            </w:r>
          </w:p>
          <w:p w14:paraId="0E0A92D4" w14:textId="77777777" w:rsidR="00E35672" w:rsidRDefault="003125F6" w:rsidP="00366521">
            <w:pPr>
              <w:pStyle w:val="TableParagraph"/>
              <w:spacing w:before="33"/>
              <w:ind w:left="391" w:right="100"/>
              <w:rPr>
                <w:sz w:val="18"/>
              </w:rPr>
            </w:pPr>
            <w:r>
              <w:rPr>
                <w:color w:val="57585B"/>
                <w:sz w:val="18"/>
                <w:lang w:bidi="es-ES"/>
              </w:rPr>
              <w:t>presupuestarias?</w:t>
            </w:r>
          </w:p>
          <w:p w14:paraId="46AF8BB5" w14:textId="77777777" w:rsidR="00E35672" w:rsidRDefault="003125F6" w:rsidP="00366521">
            <w:pPr>
              <w:pStyle w:val="TableParagraph"/>
              <w:numPr>
                <w:ilvl w:val="0"/>
                <w:numId w:val="17"/>
              </w:numPr>
              <w:tabs>
                <w:tab w:val="left" w:pos="392"/>
              </w:tabs>
              <w:spacing w:before="146"/>
              <w:ind w:right="100"/>
              <w:rPr>
                <w:sz w:val="18"/>
              </w:rPr>
            </w:pPr>
            <w:r>
              <w:rPr>
                <w:color w:val="57585B"/>
                <w:sz w:val="18"/>
                <w:lang w:bidi="es-ES"/>
              </w:rPr>
              <w:t xml:space="preserve">¿Ha consultado el informe anual del Ministerio de Finanzas por sector y subsector, incluidos los sectores relativos a la salud o la protección social, que pueden ser </w:t>
            </w:r>
            <w:proofErr w:type="gramStart"/>
            <w:r>
              <w:rPr>
                <w:color w:val="57585B"/>
                <w:sz w:val="18"/>
                <w:lang w:bidi="es-ES"/>
              </w:rPr>
              <w:t>pertinentes</w:t>
            </w:r>
            <w:proofErr w:type="gramEnd"/>
            <w:r>
              <w:rPr>
                <w:color w:val="57585B"/>
                <w:sz w:val="18"/>
                <w:lang w:bidi="es-ES"/>
              </w:rPr>
              <w:t xml:space="preserve"> pero no figurar en los exámenes conjuntos del sector educativo?</w:t>
            </w:r>
          </w:p>
          <w:p w14:paraId="578F7D89" w14:textId="77777777" w:rsidR="00E35672" w:rsidRDefault="003125F6" w:rsidP="00366521">
            <w:pPr>
              <w:pStyle w:val="TableParagraph"/>
              <w:numPr>
                <w:ilvl w:val="0"/>
                <w:numId w:val="17"/>
              </w:numPr>
              <w:tabs>
                <w:tab w:val="left" w:pos="393"/>
              </w:tabs>
              <w:spacing w:before="113"/>
              <w:ind w:right="100"/>
              <w:rPr>
                <w:sz w:val="18"/>
              </w:rPr>
            </w:pPr>
            <w:r>
              <w:rPr>
                <w:color w:val="57585B"/>
                <w:sz w:val="18"/>
                <w:lang w:bidi="es-ES"/>
              </w:rPr>
              <w:t>¿Los datos relativos a todas las esferas mencionadas han sido analizados y sintetizados para identificar patrones y tendencias, y realizar una descripción de estos y de la realidad?</w:t>
            </w:r>
          </w:p>
        </w:tc>
      </w:tr>
      <w:tr w:rsidR="00E35672" w14:paraId="40F9C5D6" w14:textId="77777777" w:rsidTr="00FD695A">
        <w:trPr>
          <w:trHeight w:val="2457"/>
        </w:trPr>
        <w:tc>
          <w:tcPr>
            <w:tcW w:w="2264" w:type="dxa"/>
            <w:tcBorders>
              <w:left w:val="nil"/>
              <w:right w:val="nil"/>
            </w:tcBorders>
            <w:shd w:val="clear" w:color="auto" w:fill="F1F2F2"/>
            <w:vAlign w:val="center"/>
          </w:tcPr>
          <w:p w14:paraId="4EAFCAF3" w14:textId="77777777" w:rsidR="00E35672" w:rsidRDefault="003125F6" w:rsidP="00350997">
            <w:pPr>
              <w:pStyle w:val="TableParagraph"/>
              <w:ind w:right="186"/>
              <w:jc w:val="center"/>
              <w:rPr>
                <w:b/>
                <w:sz w:val="18"/>
              </w:rPr>
            </w:pPr>
            <w:r>
              <w:rPr>
                <w:b/>
                <w:color w:val="913592"/>
                <w:sz w:val="18"/>
                <w:lang w:bidi="es-ES"/>
              </w:rPr>
              <w:t>EMIS</w:t>
            </w:r>
          </w:p>
        </w:tc>
        <w:tc>
          <w:tcPr>
            <w:tcW w:w="4826" w:type="dxa"/>
            <w:tcBorders>
              <w:left w:val="nil"/>
            </w:tcBorders>
          </w:tcPr>
          <w:p w14:paraId="490998DB" w14:textId="77777777" w:rsidR="00E35672" w:rsidRDefault="003125F6" w:rsidP="00043D14">
            <w:pPr>
              <w:pStyle w:val="TableParagraph"/>
              <w:tabs>
                <w:tab w:val="left" w:pos="4690"/>
              </w:tabs>
              <w:spacing w:before="155"/>
              <w:ind w:left="113" w:right="150"/>
              <w:rPr>
                <w:sz w:val="18"/>
              </w:rPr>
            </w:pPr>
            <w:r>
              <w:rPr>
                <w:color w:val="57585B"/>
                <w:sz w:val="18"/>
                <w:lang w:bidi="es-ES"/>
              </w:rPr>
              <w:t>El Sistema de Información sobre la Gestión Educacional (EMIS) es una fuente de datos importante para el seguimiento de la educación y los informes sobre el desempeño. Las series temporales sobre indicadores específicos contribuyen particularmente a la coherencia y a hacerse una idea de las fortalezas y debilidades del sector.</w:t>
            </w:r>
          </w:p>
        </w:tc>
        <w:tc>
          <w:tcPr>
            <w:tcW w:w="6482" w:type="dxa"/>
            <w:tcBorders>
              <w:right w:val="nil"/>
            </w:tcBorders>
            <w:shd w:val="clear" w:color="auto" w:fill="auto"/>
          </w:tcPr>
          <w:p w14:paraId="1039D577" w14:textId="77777777" w:rsidR="00E35672" w:rsidRDefault="003125F6" w:rsidP="00366521">
            <w:pPr>
              <w:pStyle w:val="TableParagraph"/>
              <w:numPr>
                <w:ilvl w:val="0"/>
                <w:numId w:val="16"/>
              </w:numPr>
              <w:tabs>
                <w:tab w:val="left" w:pos="393"/>
              </w:tabs>
              <w:spacing w:before="155"/>
              <w:ind w:right="100"/>
              <w:rPr>
                <w:sz w:val="18"/>
              </w:rPr>
            </w:pPr>
            <w:r>
              <w:rPr>
                <w:color w:val="57585B"/>
                <w:sz w:val="18"/>
                <w:lang w:bidi="es-ES"/>
              </w:rPr>
              <w:t>¿Los datos del EMIS están actualizados y toman en cuenta la EPI para fundamentar la presentación de informes con relación al plan de trabajo anual?</w:t>
            </w:r>
          </w:p>
          <w:p w14:paraId="581B764C" w14:textId="7C47EB4B" w:rsidR="00E35672" w:rsidRPr="00F26B16" w:rsidRDefault="003125F6" w:rsidP="00366521">
            <w:pPr>
              <w:pStyle w:val="TableParagraph"/>
              <w:numPr>
                <w:ilvl w:val="0"/>
                <w:numId w:val="16"/>
              </w:numPr>
              <w:tabs>
                <w:tab w:val="left" w:pos="392"/>
              </w:tabs>
              <w:spacing w:before="33"/>
              <w:ind w:left="391" w:right="100" w:hanging="283"/>
              <w:rPr>
                <w:sz w:val="18"/>
              </w:rPr>
            </w:pPr>
            <w:r w:rsidRPr="00F26B16">
              <w:rPr>
                <w:color w:val="57585B"/>
                <w:sz w:val="18"/>
                <w:lang w:bidi="es-ES"/>
              </w:rPr>
              <w:t>¿Los datos relativos al acceso, equidad, eficiencia, calidad y gobernanza han sido</w:t>
            </w:r>
            <w:r w:rsidR="00F26B16" w:rsidRPr="00F26B16">
              <w:rPr>
                <w:color w:val="57585B"/>
                <w:sz w:val="18"/>
                <w:lang w:bidi="es-ES"/>
              </w:rPr>
              <w:t xml:space="preserve"> </w:t>
            </w:r>
            <w:r w:rsidRPr="00F26B16">
              <w:rPr>
                <w:color w:val="57585B"/>
                <w:sz w:val="18"/>
                <w:lang w:bidi="es-ES"/>
              </w:rPr>
              <w:t>analizados con el fin de fundamentar el logro de las metas en el plan de trabajo anual?</w:t>
            </w:r>
          </w:p>
          <w:p w14:paraId="08F88457" w14:textId="6266128C" w:rsidR="00E35672" w:rsidRPr="00F26B16" w:rsidRDefault="003125F6" w:rsidP="00366521">
            <w:pPr>
              <w:pStyle w:val="TableParagraph"/>
              <w:numPr>
                <w:ilvl w:val="0"/>
                <w:numId w:val="16"/>
              </w:numPr>
              <w:tabs>
                <w:tab w:val="left" w:pos="393"/>
              </w:tabs>
              <w:spacing w:before="146"/>
              <w:ind w:right="100"/>
              <w:rPr>
                <w:sz w:val="18"/>
              </w:rPr>
            </w:pPr>
            <w:r>
              <w:rPr>
                <w:color w:val="57585B"/>
                <w:sz w:val="18"/>
                <w:lang w:bidi="es-ES"/>
              </w:rPr>
              <w:t>Basándose en el análisis, ¿se han identificado las deficiencias, dificultades, cambios, fortalezas</w:t>
            </w:r>
            <w:r w:rsidR="00F26B16">
              <w:rPr>
                <w:sz w:val="18"/>
              </w:rPr>
              <w:t xml:space="preserve"> </w:t>
            </w:r>
            <w:r w:rsidRPr="00F26B16">
              <w:rPr>
                <w:color w:val="57585B"/>
                <w:sz w:val="18"/>
                <w:lang w:bidi="es-ES"/>
              </w:rPr>
              <w:t>y debilidades para fundamentar la revisión del examen sectorial conjunto?</w:t>
            </w:r>
          </w:p>
        </w:tc>
      </w:tr>
    </w:tbl>
    <w:p w14:paraId="4927807A" w14:textId="77777777" w:rsidR="00E35672" w:rsidRDefault="00E35672" w:rsidP="007A24B1">
      <w:pPr>
        <w:rPr>
          <w:sz w:val="18"/>
        </w:rPr>
        <w:sectPr w:rsidR="00E35672">
          <w:headerReference w:type="default" r:id="rId14"/>
          <w:pgSz w:w="15840" w:h="12240" w:orient="landscape"/>
          <w:pgMar w:top="860" w:right="940" w:bottom="280" w:left="860" w:header="0" w:footer="0" w:gutter="0"/>
          <w:cols w:space="720"/>
        </w:sectPr>
      </w:pPr>
    </w:p>
    <w:p w14:paraId="0B78AB14" w14:textId="77777777" w:rsidR="00E35672" w:rsidRDefault="00E35672" w:rsidP="007A24B1">
      <w:pPr>
        <w:pStyle w:val="Textoindependiente"/>
        <w:spacing w:before="5" w:after="1"/>
        <w:rPr>
          <w:rFonts w:ascii="Times New Roman"/>
          <w:sz w:val="25"/>
        </w:rPr>
      </w:pPr>
    </w:p>
    <w:tbl>
      <w:tblPr>
        <w:tblStyle w:val="TableNormal1"/>
        <w:tblW w:w="0" w:type="auto"/>
        <w:tblInd w:w="28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4826"/>
        <w:gridCol w:w="6482"/>
      </w:tblGrid>
      <w:tr w:rsidR="00A63120" w14:paraId="4D734E28" w14:textId="77777777" w:rsidTr="00A63120">
        <w:trPr>
          <w:trHeight w:val="432"/>
        </w:trPr>
        <w:tc>
          <w:tcPr>
            <w:tcW w:w="2264" w:type="dxa"/>
            <w:tcBorders>
              <w:left w:val="nil"/>
              <w:right w:val="nil"/>
            </w:tcBorders>
            <w:vAlign w:val="center"/>
          </w:tcPr>
          <w:p w14:paraId="2F47E12E" w14:textId="4428A17A" w:rsidR="00A63120" w:rsidRDefault="00A63120" w:rsidP="0062521A">
            <w:pPr>
              <w:pStyle w:val="TableParagraph"/>
              <w:spacing w:before="112"/>
              <w:jc w:val="center"/>
              <w:rPr>
                <w:b/>
                <w:sz w:val="18"/>
              </w:rPr>
            </w:pPr>
            <w:r>
              <w:rPr>
                <w:b/>
                <w:color w:val="913592"/>
                <w:sz w:val="18"/>
                <w:lang w:bidi="es-ES"/>
              </w:rPr>
              <w:t>Esferas</w:t>
            </w:r>
          </w:p>
        </w:tc>
        <w:tc>
          <w:tcPr>
            <w:tcW w:w="4826" w:type="dxa"/>
            <w:tcBorders>
              <w:left w:val="nil"/>
              <w:right w:val="nil"/>
            </w:tcBorders>
            <w:vAlign w:val="center"/>
          </w:tcPr>
          <w:p w14:paraId="73965D0D" w14:textId="638D997A" w:rsidR="00A63120" w:rsidRDefault="00A63120" w:rsidP="0062521A">
            <w:pPr>
              <w:pStyle w:val="TableParagraph"/>
              <w:spacing w:before="112"/>
              <w:jc w:val="center"/>
              <w:rPr>
                <w:b/>
                <w:sz w:val="18"/>
              </w:rPr>
            </w:pPr>
            <w:r>
              <w:rPr>
                <w:b/>
                <w:color w:val="913592"/>
                <w:sz w:val="18"/>
                <w:lang w:bidi="es-ES"/>
              </w:rPr>
              <w:t>Orientaciones para el examen</w:t>
            </w:r>
            <w:r w:rsidR="0062521A">
              <w:rPr>
                <w:b/>
                <w:color w:val="913592"/>
                <w:sz w:val="18"/>
                <w:lang w:bidi="es-ES"/>
              </w:rPr>
              <w:t xml:space="preserve"> </w:t>
            </w:r>
            <w:r>
              <w:rPr>
                <w:b/>
                <w:color w:val="913592"/>
                <w:sz w:val="18"/>
                <w:lang w:bidi="es-ES"/>
              </w:rPr>
              <w:t>sectorial conjunto</w:t>
            </w:r>
          </w:p>
        </w:tc>
        <w:tc>
          <w:tcPr>
            <w:tcW w:w="6482" w:type="dxa"/>
            <w:tcBorders>
              <w:left w:val="nil"/>
              <w:right w:val="nil"/>
            </w:tcBorders>
            <w:vAlign w:val="center"/>
          </w:tcPr>
          <w:p w14:paraId="6A7CB687" w14:textId="11C5B417" w:rsidR="00A63120" w:rsidRDefault="00A63120" w:rsidP="0062521A">
            <w:pPr>
              <w:pStyle w:val="TableParagraph"/>
              <w:spacing w:before="112"/>
              <w:jc w:val="center"/>
              <w:rPr>
                <w:b/>
                <w:sz w:val="18"/>
              </w:rPr>
            </w:pPr>
            <w:r>
              <w:rPr>
                <w:b/>
                <w:color w:val="913592"/>
                <w:sz w:val="18"/>
                <w:lang w:bidi="es-ES"/>
              </w:rPr>
              <w:t xml:space="preserve">Preguntas para orientar el análisis de las fuentes de datos clave: </w:t>
            </w:r>
            <w:r>
              <w:rPr>
                <w:b/>
                <w:color w:val="913592"/>
                <w:sz w:val="18"/>
                <w:lang w:bidi="es-ES"/>
              </w:rPr>
              <w:br/>
              <w:t>Preguntas específicamente centradas en la EPI</w:t>
            </w:r>
          </w:p>
        </w:tc>
      </w:tr>
      <w:tr w:rsidR="00E35672" w14:paraId="2AA3D389" w14:textId="77777777" w:rsidTr="00366C79">
        <w:trPr>
          <w:trHeight w:val="2186"/>
        </w:trPr>
        <w:tc>
          <w:tcPr>
            <w:tcW w:w="2264" w:type="dxa"/>
            <w:tcBorders>
              <w:left w:val="nil"/>
              <w:right w:val="nil"/>
            </w:tcBorders>
            <w:shd w:val="clear" w:color="auto" w:fill="F1F2F2"/>
            <w:vAlign w:val="center"/>
          </w:tcPr>
          <w:p w14:paraId="5E55D889" w14:textId="454695ED" w:rsidR="00E35672" w:rsidRDefault="003125F6" w:rsidP="007236C3">
            <w:pPr>
              <w:pStyle w:val="TableParagraph"/>
              <w:ind w:left="79" w:hanging="79"/>
              <w:jc w:val="center"/>
              <w:rPr>
                <w:b/>
                <w:sz w:val="18"/>
              </w:rPr>
            </w:pPr>
            <w:r>
              <w:rPr>
                <w:b/>
                <w:color w:val="913592"/>
                <w:sz w:val="18"/>
                <w:lang w:bidi="es-ES"/>
              </w:rPr>
              <w:t xml:space="preserve">Informes de </w:t>
            </w:r>
            <w:r w:rsidR="00842A56">
              <w:rPr>
                <w:b/>
                <w:color w:val="913592"/>
                <w:sz w:val="18"/>
                <w:lang w:bidi="es-ES"/>
              </w:rPr>
              <w:br/>
            </w:r>
            <w:r>
              <w:rPr>
                <w:b/>
                <w:color w:val="913592"/>
                <w:sz w:val="18"/>
                <w:lang w:bidi="es-ES"/>
              </w:rPr>
              <w:t xml:space="preserve">los departamentos </w:t>
            </w:r>
            <w:r w:rsidR="00842A56">
              <w:rPr>
                <w:b/>
                <w:color w:val="913592"/>
                <w:sz w:val="18"/>
                <w:lang w:bidi="es-ES"/>
              </w:rPr>
              <w:br/>
            </w:r>
            <w:r>
              <w:rPr>
                <w:b/>
                <w:color w:val="913592"/>
                <w:sz w:val="18"/>
                <w:lang w:bidi="es-ES"/>
              </w:rPr>
              <w:t>del Ministerio de Educación</w:t>
            </w:r>
          </w:p>
        </w:tc>
        <w:tc>
          <w:tcPr>
            <w:tcW w:w="4826" w:type="dxa"/>
            <w:tcBorders>
              <w:left w:val="nil"/>
            </w:tcBorders>
          </w:tcPr>
          <w:p w14:paraId="091532F8" w14:textId="4756CAE3" w:rsidR="00E35672" w:rsidRDefault="003125F6" w:rsidP="007A24B1">
            <w:pPr>
              <w:pStyle w:val="TableParagraph"/>
              <w:spacing w:before="155"/>
              <w:ind w:left="113" w:right="242"/>
              <w:rPr>
                <w:sz w:val="18"/>
              </w:rPr>
            </w:pPr>
            <w:r>
              <w:rPr>
                <w:color w:val="57585B"/>
                <w:sz w:val="18"/>
                <w:lang w:bidi="es-ES"/>
              </w:rPr>
              <w:t>Esta clase de informes a más pequeña escala suelen incluir el estado de todos los productos y gastos previstos en</w:t>
            </w:r>
            <w:r w:rsidR="00F26B16">
              <w:rPr>
                <w:color w:val="57585B"/>
                <w:sz w:val="18"/>
                <w:lang w:bidi="es-ES"/>
              </w:rPr>
              <w:t xml:space="preserve"> </w:t>
            </w:r>
            <w:r>
              <w:rPr>
                <w:color w:val="57585B"/>
                <w:sz w:val="18"/>
                <w:lang w:bidi="es-ES"/>
              </w:rPr>
              <w:t>el plan en función de las dependencias del departamento encargado. Asimismo, incluyen un análisis de las causas de la demora, cambios, inacción o discrepancias en relación con los gastos planificados.</w:t>
            </w:r>
          </w:p>
        </w:tc>
        <w:tc>
          <w:tcPr>
            <w:tcW w:w="6482" w:type="dxa"/>
            <w:tcBorders>
              <w:right w:val="nil"/>
            </w:tcBorders>
          </w:tcPr>
          <w:p w14:paraId="0D511A15" w14:textId="77777777" w:rsidR="00E35672" w:rsidRDefault="003125F6" w:rsidP="007A24B1">
            <w:pPr>
              <w:pStyle w:val="TableParagraph"/>
              <w:numPr>
                <w:ilvl w:val="0"/>
                <w:numId w:val="15"/>
              </w:numPr>
              <w:tabs>
                <w:tab w:val="left" w:pos="393"/>
              </w:tabs>
              <w:spacing w:before="155"/>
              <w:ind w:right="254"/>
              <w:rPr>
                <w:sz w:val="18"/>
              </w:rPr>
            </w:pPr>
            <w:r>
              <w:rPr>
                <w:color w:val="57585B"/>
                <w:sz w:val="18"/>
                <w:lang w:bidi="es-ES"/>
              </w:rPr>
              <w:t>¿Existen informes sobre la aplicación del plan de estudios de la EPI, participación familiar y comunitaria, análisis de la fuerza de trabajo y aseguramiento de la calidad?</w:t>
            </w:r>
          </w:p>
          <w:p w14:paraId="7B623DC4" w14:textId="77777777" w:rsidR="00E35672" w:rsidRDefault="003125F6" w:rsidP="007A24B1">
            <w:pPr>
              <w:pStyle w:val="TableParagraph"/>
              <w:numPr>
                <w:ilvl w:val="0"/>
                <w:numId w:val="15"/>
              </w:numPr>
              <w:tabs>
                <w:tab w:val="left" w:pos="392"/>
              </w:tabs>
              <w:spacing w:before="114"/>
              <w:ind w:right="284"/>
              <w:rPr>
                <w:sz w:val="18"/>
              </w:rPr>
            </w:pPr>
            <w:r>
              <w:rPr>
                <w:color w:val="57585B"/>
                <w:sz w:val="18"/>
                <w:lang w:bidi="es-ES"/>
              </w:rPr>
              <w:t>¿Los informes han sido analizados para fundamentar el informe del examen sectorial conjunto de la EPI acerca de los avances realizados, las dificultades y los próximos pasos?</w:t>
            </w:r>
          </w:p>
          <w:p w14:paraId="02E87381" w14:textId="77777777" w:rsidR="00E35672" w:rsidRDefault="003125F6" w:rsidP="007A24B1">
            <w:pPr>
              <w:pStyle w:val="TableParagraph"/>
              <w:numPr>
                <w:ilvl w:val="0"/>
                <w:numId w:val="15"/>
              </w:numPr>
              <w:tabs>
                <w:tab w:val="left" w:pos="393"/>
              </w:tabs>
              <w:spacing w:before="113"/>
              <w:rPr>
                <w:sz w:val="18"/>
              </w:rPr>
            </w:pPr>
            <w:r>
              <w:rPr>
                <w:color w:val="57585B"/>
                <w:sz w:val="18"/>
                <w:lang w:bidi="es-ES"/>
              </w:rPr>
              <w:t>¿Se han identificado las lecciones para fundamentar el próximo plan de trabajo anual una vez finalizado el examen sectorial conjunto?</w:t>
            </w:r>
          </w:p>
        </w:tc>
      </w:tr>
      <w:tr w:rsidR="00E35672" w14:paraId="0275463D" w14:textId="77777777" w:rsidTr="00366C79">
        <w:trPr>
          <w:trHeight w:val="2274"/>
        </w:trPr>
        <w:tc>
          <w:tcPr>
            <w:tcW w:w="2264" w:type="dxa"/>
            <w:tcBorders>
              <w:left w:val="nil"/>
              <w:right w:val="nil"/>
            </w:tcBorders>
            <w:shd w:val="clear" w:color="auto" w:fill="F1F2F2"/>
            <w:vAlign w:val="center"/>
          </w:tcPr>
          <w:p w14:paraId="487CAED3" w14:textId="77777777" w:rsidR="00E35672" w:rsidRDefault="003125F6" w:rsidP="007236C3">
            <w:pPr>
              <w:pStyle w:val="TableParagraph"/>
              <w:ind w:left="79" w:hanging="79"/>
              <w:jc w:val="center"/>
              <w:rPr>
                <w:b/>
                <w:sz w:val="18"/>
              </w:rPr>
            </w:pPr>
            <w:r>
              <w:rPr>
                <w:b/>
                <w:color w:val="913592"/>
                <w:sz w:val="18"/>
                <w:lang w:bidi="es-ES"/>
              </w:rPr>
              <w:t>Informes de otros ministerios</w:t>
            </w:r>
          </w:p>
        </w:tc>
        <w:tc>
          <w:tcPr>
            <w:tcW w:w="4826" w:type="dxa"/>
            <w:tcBorders>
              <w:left w:val="nil"/>
            </w:tcBorders>
          </w:tcPr>
          <w:p w14:paraId="724B9D8E" w14:textId="77777777" w:rsidR="00E35672" w:rsidRDefault="003125F6" w:rsidP="007A24B1">
            <w:pPr>
              <w:pStyle w:val="TableParagraph"/>
              <w:spacing w:before="155"/>
              <w:ind w:left="113" w:right="291"/>
              <w:rPr>
                <w:sz w:val="18"/>
              </w:rPr>
            </w:pPr>
            <w:r>
              <w:rPr>
                <w:color w:val="57585B"/>
                <w:sz w:val="18"/>
                <w:lang w:bidi="es-ES"/>
              </w:rPr>
              <w:t>Es posible que la información acerca de los programas educativos y las partidas presupuestarias esté escondida en varios ministerios, sobre todo aquella relacionada con el género, la educación no formal, los deportes, la salud, los asuntos sociales, los asuntos civiles y la planificación. En los países que albergan un gran número de refugiados, es posible que haya un ministerio independiente que esté a cargo de los asuntos relativos a los refugiados, que también se debe consultar.</w:t>
            </w:r>
          </w:p>
        </w:tc>
        <w:tc>
          <w:tcPr>
            <w:tcW w:w="6482" w:type="dxa"/>
            <w:tcBorders>
              <w:right w:val="nil"/>
            </w:tcBorders>
          </w:tcPr>
          <w:p w14:paraId="59E846AC" w14:textId="77777777" w:rsidR="00E35672" w:rsidRDefault="003125F6" w:rsidP="007A24B1">
            <w:pPr>
              <w:pStyle w:val="TableParagraph"/>
              <w:numPr>
                <w:ilvl w:val="0"/>
                <w:numId w:val="14"/>
              </w:numPr>
              <w:tabs>
                <w:tab w:val="left" w:pos="393"/>
              </w:tabs>
              <w:spacing w:before="155"/>
              <w:ind w:right="275"/>
              <w:rPr>
                <w:sz w:val="18"/>
              </w:rPr>
            </w:pPr>
            <w:r>
              <w:rPr>
                <w:color w:val="57585B"/>
                <w:sz w:val="18"/>
                <w:lang w:bidi="es-ES"/>
              </w:rPr>
              <w:t>¿Hay otros ministerios que se encargan de prestar los servicios de EPI (capacitación para docentes, elaboración del plan de estudios, aseguramiento de la calidad, cuidado de los niños, protección social)? En caso afirmativo, ¿los informes de dichos ministerios han sido examinados para sustentar el informe del examen sectorial conjunto?</w:t>
            </w:r>
          </w:p>
          <w:p w14:paraId="3EEC1884" w14:textId="77777777" w:rsidR="00E35672" w:rsidRDefault="003125F6" w:rsidP="007A24B1">
            <w:pPr>
              <w:pStyle w:val="TableParagraph"/>
              <w:numPr>
                <w:ilvl w:val="0"/>
                <w:numId w:val="14"/>
              </w:numPr>
              <w:tabs>
                <w:tab w:val="left" w:pos="392"/>
              </w:tabs>
              <w:spacing w:before="113"/>
              <w:ind w:left="391" w:hanging="283"/>
              <w:rPr>
                <w:sz w:val="18"/>
              </w:rPr>
            </w:pPr>
            <w:r>
              <w:rPr>
                <w:color w:val="57585B"/>
                <w:sz w:val="18"/>
                <w:lang w:bidi="es-ES"/>
              </w:rPr>
              <w:t>¿Las personas que trabajan en dichos ministerios forman parte del Grupo de Trabajo Técnico sobre EPI?</w:t>
            </w:r>
          </w:p>
        </w:tc>
      </w:tr>
      <w:tr w:rsidR="00E35672" w14:paraId="114C3D73" w14:textId="77777777" w:rsidTr="00366C79">
        <w:trPr>
          <w:trHeight w:val="2108"/>
        </w:trPr>
        <w:tc>
          <w:tcPr>
            <w:tcW w:w="2264" w:type="dxa"/>
            <w:tcBorders>
              <w:left w:val="nil"/>
              <w:right w:val="nil"/>
            </w:tcBorders>
            <w:shd w:val="clear" w:color="auto" w:fill="F1F2F2"/>
            <w:vAlign w:val="center"/>
          </w:tcPr>
          <w:p w14:paraId="419A2F91" w14:textId="628B2ABE" w:rsidR="00E35672" w:rsidRDefault="003125F6" w:rsidP="007236C3">
            <w:pPr>
              <w:pStyle w:val="TableParagraph"/>
              <w:ind w:left="79" w:hanging="79"/>
              <w:jc w:val="center"/>
              <w:rPr>
                <w:b/>
                <w:sz w:val="18"/>
              </w:rPr>
            </w:pPr>
            <w:r>
              <w:rPr>
                <w:b/>
                <w:color w:val="913592"/>
                <w:sz w:val="18"/>
                <w:lang w:bidi="es-ES"/>
              </w:rPr>
              <w:t xml:space="preserve">Presentación </w:t>
            </w:r>
            <w:r w:rsidR="007236C3">
              <w:rPr>
                <w:b/>
                <w:color w:val="913592"/>
                <w:sz w:val="18"/>
                <w:lang w:bidi="es-ES"/>
              </w:rPr>
              <w:br/>
            </w:r>
            <w:r>
              <w:rPr>
                <w:b/>
                <w:color w:val="913592"/>
                <w:sz w:val="18"/>
                <w:lang w:bidi="es-ES"/>
              </w:rPr>
              <w:t xml:space="preserve">de informes locales </w:t>
            </w:r>
            <w:r w:rsidR="007236C3">
              <w:rPr>
                <w:b/>
                <w:color w:val="913592"/>
                <w:sz w:val="18"/>
                <w:lang w:bidi="es-ES"/>
              </w:rPr>
              <w:br/>
            </w:r>
            <w:r>
              <w:rPr>
                <w:b/>
                <w:color w:val="913592"/>
                <w:sz w:val="18"/>
                <w:lang w:bidi="es-ES"/>
              </w:rPr>
              <w:t>o regionales</w:t>
            </w:r>
          </w:p>
        </w:tc>
        <w:tc>
          <w:tcPr>
            <w:tcW w:w="4826" w:type="dxa"/>
            <w:tcBorders>
              <w:left w:val="nil"/>
            </w:tcBorders>
          </w:tcPr>
          <w:p w14:paraId="531FAF88" w14:textId="77777777" w:rsidR="00E35672" w:rsidRDefault="003125F6" w:rsidP="007A24B1">
            <w:pPr>
              <w:pStyle w:val="TableParagraph"/>
              <w:spacing w:before="155"/>
              <w:ind w:left="113" w:right="111"/>
              <w:rPr>
                <w:sz w:val="18"/>
              </w:rPr>
            </w:pPr>
            <w:r>
              <w:rPr>
                <w:color w:val="57585B"/>
                <w:sz w:val="18"/>
                <w:lang w:bidi="es-ES"/>
              </w:rPr>
              <w:t>La presentación de informes regionales con respecto a las metas regionales en los planes operacionales del plan del sector educativo ofrece pruebas significativas de los avances en los compromisos gubernamentales en el plano descentralizado por parte de las autoridades oficiales u organizaciones de la sociedad civil.</w:t>
            </w:r>
          </w:p>
        </w:tc>
        <w:tc>
          <w:tcPr>
            <w:tcW w:w="6482" w:type="dxa"/>
            <w:tcBorders>
              <w:right w:val="nil"/>
            </w:tcBorders>
          </w:tcPr>
          <w:p w14:paraId="019DD6CB" w14:textId="77777777" w:rsidR="00E35672" w:rsidRDefault="003125F6" w:rsidP="007A24B1">
            <w:pPr>
              <w:pStyle w:val="TableParagraph"/>
              <w:numPr>
                <w:ilvl w:val="0"/>
                <w:numId w:val="13"/>
              </w:numPr>
              <w:tabs>
                <w:tab w:val="left" w:pos="393"/>
              </w:tabs>
              <w:spacing w:before="155"/>
              <w:ind w:right="635"/>
              <w:rPr>
                <w:sz w:val="18"/>
              </w:rPr>
            </w:pPr>
            <w:r>
              <w:rPr>
                <w:color w:val="57585B"/>
                <w:sz w:val="18"/>
                <w:lang w:bidi="es-ES"/>
              </w:rPr>
              <w:t>¿Existen informes sobre la prestación de servicios de EPI provenientes de las regiones, provincias, condados o distritos? En caso afirmativo, ¿se trata de informes periódicos?</w:t>
            </w:r>
          </w:p>
          <w:p w14:paraId="1F45C9D1" w14:textId="77777777" w:rsidR="00E35672" w:rsidRDefault="003125F6" w:rsidP="007A24B1">
            <w:pPr>
              <w:pStyle w:val="TableParagraph"/>
              <w:numPr>
                <w:ilvl w:val="0"/>
                <w:numId w:val="13"/>
              </w:numPr>
              <w:tabs>
                <w:tab w:val="left" w:pos="392"/>
              </w:tabs>
              <w:spacing w:before="114"/>
              <w:ind w:right="593"/>
              <w:rPr>
                <w:sz w:val="18"/>
              </w:rPr>
            </w:pPr>
            <w:r>
              <w:rPr>
                <w:color w:val="57585B"/>
                <w:sz w:val="18"/>
                <w:lang w:bidi="es-ES"/>
              </w:rPr>
              <w:t>¿Estos informes se emplean para fundamentar el informe del plan de trabajo anual sobre las metas del plan?</w:t>
            </w:r>
          </w:p>
          <w:p w14:paraId="535C26E0" w14:textId="77777777" w:rsidR="00E35672" w:rsidRDefault="003125F6" w:rsidP="007A24B1">
            <w:pPr>
              <w:pStyle w:val="TableParagraph"/>
              <w:numPr>
                <w:ilvl w:val="0"/>
                <w:numId w:val="13"/>
              </w:numPr>
              <w:tabs>
                <w:tab w:val="left" w:pos="393"/>
              </w:tabs>
              <w:spacing w:before="113"/>
              <w:ind w:right="334"/>
              <w:rPr>
                <w:sz w:val="18"/>
              </w:rPr>
            </w:pPr>
            <w:r>
              <w:rPr>
                <w:color w:val="57585B"/>
                <w:sz w:val="18"/>
                <w:lang w:bidi="es-ES"/>
              </w:rPr>
              <w:t>¿Estas regiones informan sobre el estado de los servicios de EPI antes y después del examen sectorial conjunto con respecto a los avances, dificultades y próximos pasos?</w:t>
            </w:r>
          </w:p>
        </w:tc>
      </w:tr>
      <w:tr w:rsidR="00E35672" w14:paraId="70439A0B" w14:textId="77777777" w:rsidTr="00695256">
        <w:trPr>
          <w:trHeight w:val="3121"/>
        </w:trPr>
        <w:tc>
          <w:tcPr>
            <w:tcW w:w="2264" w:type="dxa"/>
            <w:tcBorders>
              <w:left w:val="nil"/>
              <w:right w:val="nil"/>
            </w:tcBorders>
            <w:shd w:val="clear" w:color="auto" w:fill="F1F2F2"/>
            <w:vAlign w:val="center"/>
          </w:tcPr>
          <w:p w14:paraId="5E3595E4" w14:textId="77777777" w:rsidR="00E35672" w:rsidRDefault="003125F6" w:rsidP="007236C3">
            <w:pPr>
              <w:pStyle w:val="TableParagraph"/>
              <w:ind w:left="57" w:right="57"/>
              <w:jc w:val="center"/>
              <w:rPr>
                <w:b/>
                <w:sz w:val="18"/>
              </w:rPr>
            </w:pPr>
            <w:r>
              <w:rPr>
                <w:b/>
                <w:color w:val="913592"/>
                <w:sz w:val="18"/>
                <w:lang w:bidi="es-ES"/>
              </w:rPr>
              <w:t>Seguimiento y presentación de informes de los asociados</w:t>
            </w:r>
          </w:p>
        </w:tc>
        <w:tc>
          <w:tcPr>
            <w:tcW w:w="4826" w:type="dxa"/>
            <w:tcBorders>
              <w:left w:val="nil"/>
            </w:tcBorders>
          </w:tcPr>
          <w:p w14:paraId="48C421FF" w14:textId="31A34192" w:rsidR="00E35672" w:rsidRDefault="003125F6" w:rsidP="007A24B1">
            <w:pPr>
              <w:pStyle w:val="TableParagraph"/>
              <w:spacing w:before="155"/>
              <w:ind w:left="113" w:right="92"/>
              <w:rPr>
                <w:sz w:val="18"/>
              </w:rPr>
            </w:pPr>
            <w:r>
              <w:rPr>
                <w:color w:val="57585B"/>
                <w:sz w:val="18"/>
                <w:lang w:bidi="es-ES"/>
              </w:rPr>
              <w:t xml:space="preserve">Esto incluye conjuntos de datos específicos de los asociados </w:t>
            </w:r>
            <w:r w:rsidR="00F26B16">
              <w:rPr>
                <w:color w:val="57585B"/>
                <w:sz w:val="18"/>
                <w:lang w:bidi="es-ES"/>
              </w:rPr>
              <w:t>e</w:t>
            </w:r>
            <w:r>
              <w:rPr>
                <w:color w:val="57585B"/>
                <w:sz w:val="18"/>
                <w:lang w:bidi="es-ES"/>
              </w:rPr>
              <w:t xml:space="preserve"> informes temáticos sobre el desempeño, así como evaluaciones de mitad de período y evaluaciones finales. En los contextos de conflicto o donde se haya producido una catástrofe, también se pueden recopilar datos de la Oficina de Coordinación de Asuntos Humanitarios (OCHA) de las Naciones Unidas, la Oficina del Alto Comisionado de las Naciones Unidas para los Refugiados (ACNUR) o el Grupo Integrado de Educación. Los datos de la OCHA pueden ser útiles para analizar las cuestiones relacionadas con los desplazamientos. Los datos de la Organización Internacional para las Migraciones (OIM) pueden ser útiles para analizar las cuestiones relacionadas con la migración.</w:t>
            </w:r>
          </w:p>
        </w:tc>
        <w:tc>
          <w:tcPr>
            <w:tcW w:w="6482" w:type="dxa"/>
            <w:tcBorders>
              <w:right w:val="nil"/>
            </w:tcBorders>
          </w:tcPr>
          <w:p w14:paraId="27590922" w14:textId="77777777" w:rsidR="00E35672" w:rsidRDefault="003125F6" w:rsidP="007A24B1">
            <w:pPr>
              <w:pStyle w:val="TableParagraph"/>
              <w:numPr>
                <w:ilvl w:val="0"/>
                <w:numId w:val="12"/>
              </w:numPr>
              <w:tabs>
                <w:tab w:val="left" w:pos="392"/>
              </w:tabs>
              <w:spacing w:before="155"/>
              <w:ind w:right="194"/>
              <w:rPr>
                <w:sz w:val="18"/>
              </w:rPr>
            </w:pPr>
            <w:r>
              <w:rPr>
                <w:color w:val="57585B"/>
                <w:sz w:val="18"/>
                <w:lang w:bidi="es-ES"/>
              </w:rPr>
              <w:t>¿Existen informes sobre la situación en el país, evaluaciones o datos de los asociados centrados en la EPI? En caso afirmativo, ¿estos informes de datos se emplean para fundamentar el informe anual con respecto al plan de trabajo anual?</w:t>
            </w:r>
          </w:p>
          <w:p w14:paraId="1DC01A7F" w14:textId="77777777" w:rsidR="00E35672" w:rsidRDefault="003125F6" w:rsidP="007A24B1">
            <w:pPr>
              <w:pStyle w:val="TableParagraph"/>
              <w:numPr>
                <w:ilvl w:val="0"/>
                <w:numId w:val="12"/>
              </w:numPr>
              <w:tabs>
                <w:tab w:val="left" w:pos="392"/>
              </w:tabs>
              <w:spacing w:before="113"/>
              <w:ind w:left="391" w:hanging="283"/>
              <w:rPr>
                <w:sz w:val="18"/>
              </w:rPr>
            </w:pPr>
            <w:r>
              <w:rPr>
                <w:color w:val="57585B"/>
                <w:sz w:val="18"/>
                <w:lang w:bidi="es-ES"/>
              </w:rPr>
              <w:t>¿Entre los asociados hay algunos que sean miembros de los Grupos de Trabajo Técnico sobre EPI?</w:t>
            </w:r>
          </w:p>
          <w:p w14:paraId="6DC53601" w14:textId="77777777" w:rsidR="00E35672" w:rsidRDefault="003125F6" w:rsidP="007A24B1">
            <w:pPr>
              <w:pStyle w:val="TableParagraph"/>
              <w:numPr>
                <w:ilvl w:val="0"/>
                <w:numId w:val="12"/>
              </w:numPr>
              <w:tabs>
                <w:tab w:val="left" w:pos="392"/>
              </w:tabs>
              <w:spacing w:before="147"/>
              <w:ind w:right="394"/>
              <w:rPr>
                <w:sz w:val="18"/>
              </w:rPr>
            </w:pPr>
            <w:r>
              <w:rPr>
                <w:color w:val="57585B"/>
                <w:sz w:val="18"/>
                <w:lang w:bidi="es-ES"/>
              </w:rPr>
              <w:t>¿Las intervenciones de los asociados están alineadas con el plan de trabajo anual y multianual del plan del sector educativo?</w:t>
            </w:r>
          </w:p>
          <w:p w14:paraId="41B5A339" w14:textId="77777777" w:rsidR="00E35672" w:rsidRDefault="003125F6" w:rsidP="007A24B1">
            <w:pPr>
              <w:pStyle w:val="TableParagraph"/>
              <w:numPr>
                <w:ilvl w:val="0"/>
                <w:numId w:val="12"/>
              </w:numPr>
              <w:tabs>
                <w:tab w:val="left" w:pos="392"/>
              </w:tabs>
              <w:spacing w:before="113"/>
              <w:ind w:right="273"/>
              <w:rPr>
                <w:sz w:val="18"/>
              </w:rPr>
            </w:pPr>
            <w:r>
              <w:rPr>
                <w:color w:val="57585B"/>
                <w:sz w:val="18"/>
                <w:lang w:bidi="es-ES"/>
              </w:rPr>
              <w:t>¿El marco de seguimiento y el proceso de recopilación de datos en los que se basa la actualización del plan de trabajo anual toman en cuenta las intervenciones de los asociados?</w:t>
            </w:r>
          </w:p>
        </w:tc>
      </w:tr>
    </w:tbl>
    <w:p w14:paraId="6C799E1E" w14:textId="77777777" w:rsidR="00E35672" w:rsidRDefault="00E35672" w:rsidP="007A24B1">
      <w:pPr>
        <w:rPr>
          <w:sz w:val="18"/>
        </w:rPr>
        <w:sectPr w:rsidR="00E35672">
          <w:headerReference w:type="default" r:id="rId15"/>
          <w:pgSz w:w="15840" w:h="12240" w:orient="landscape"/>
          <w:pgMar w:top="840" w:right="940" w:bottom="280" w:left="860" w:header="574" w:footer="0" w:gutter="0"/>
          <w:pgNumType w:start="5"/>
          <w:cols w:space="720"/>
        </w:sectPr>
      </w:pPr>
    </w:p>
    <w:p w14:paraId="10B3C423" w14:textId="77777777" w:rsidR="00E35672" w:rsidRDefault="00E35672" w:rsidP="007A24B1">
      <w:pPr>
        <w:pStyle w:val="Textoindependiente"/>
        <w:spacing w:before="5" w:after="1"/>
        <w:rPr>
          <w:rFonts w:ascii="Times New Roman"/>
          <w:sz w:val="25"/>
        </w:rPr>
      </w:pPr>
    </w:p>
    <w:tbl>
      <w:tblPr>
        <w:tblStyle w:val="TableNormal1"/>
        <w:tblW w:w="0" w:type="auto"/>
        <w:tblInd w:w="27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4"/>
        <w:gridCol w:w="4830"/>
        <w:gridCol w:w="6478"/>
      </w:tblGrid>
      <w:tr w:rsidR="00530B69" w14:paraId="6379F4C4" w14:textId="77777777" w:rsidTr="00530B69">
        <w:trPr>
          <w:trHeight w:val="432"/>
        </w:trPr>
        <w:tc>
          <w:tcPr>
            <w:tcW w:w="2264" w:type="dxa"/>
            <w:tcBorders>
              <w:left w:val="nil"/>
              <w:right w:val="nil"/>
            </w:tcBorders>
            <w:vAlign w:val="center"/>
          </w:tcPr>
          <w:p w14:paraId="655DBF3F" w14:textId="77777777" w:rsidR="00530B69" w:rsidRDefault="00530B69" w:rsidP="009750E2">
            <w:pPr>
              <w:pStyle w:val="TableParagraph"/>
              <w:spacing w:before="112"/>
              <w:jc w:val="center"/>
              <w:rPr>
                <w:b/>
                <w:color w:val="913592"/>
                <w:sz w:val="18"/>
                <w:lang w:bidi="es-ES"/>
              </w:rPr>
            </w:pPr>
            <w:bookmarkStart w:id="1" w:name="_bookmark0"/>
            <w:bookmarkEnd w:id="1"/>
          </w:p>
          <w:p w14:paraId="5B782118" w14:textId="150113B5" w:rsidR="00E927E4" w:rsidRDefault="00E927E4" w:rsidP="009750E2">
            <w:pPr>
              <w:pStyle w:val="TableParagraph"/>
              <w:spacing w:before="112"/>
              <w:jc w:val="center"/>
              <w:rPr>
                <w:b/>
                <w:sz w:val="18"/>
              </w:rPr>
            </w:pPr>
          </w:p>
        </w:tc>
        <w:tc>
          <w:tcPr>
            <w:tcW w:w="4830" w:type="dxa"/>
            <w:tcBorders>
              <w:left w:val="nil"/>
              <w:right w:val="nil"/>
            </w:tcBorders>
            <w:vAlign w:val="center"/>
          </w:tcPr>
          <w:p w14:paraId="2A9A8045" w14:textId="50F35224" w:rsidR="00530B69" w:rsidRDefault="00530B69" w:rsidP="009750E2">
            <w:pPr>
              <w:pStyle w:val="TableParagraph"/>
              <w:spacing w:before="112"/>
              <w:jc w:val="center"/>
              <w:rPr>
                <w:b/>
                <w:sz w:val="18"/>
              </w:rPr>
            </w:pPr>
            <w:r>
              <w:rPr>
                <w:b/>
                <w:color w:val="913592"/>
                <w:sz w:val="18"/>
                <w:lang w:bidi="es-ES"/>
              </w:rPr>
              <w:t>Orientaciones para el examen sectorial conjunto</w:t>
            </w:r>
          </w:p>
        </w:tc>
        <w:tc>
          <w:tcPr>
            <w:tcW w:w="6478" w:type="dxa"/>
            <w:tcBorders>
              <w:left w:val="nil"/>
              <w:right w:val="nil"/>
            </w:tcBorders>
            <w:vAlign w:val="center"/>
          </w:tcPr>
          <w:p w14:paraId="043795C9" w14:textId="05E7B911" w:rsidR="00530B69" w:rsidRDefault="00530B69" w:rsidP="009750E2">
            <w:pPr>
              <w:pStyle w:val="TableParagraph"/>
              <w:spacing w:before="112"/>
              <w:jc w:val="center"/>
              <w:rPr>
                <w:b/>
                <w:sz w:val="18"/>
              </w:rPr>
            </w:pPr>
            <w:r>
              <w:rPr>
                <w:b/>
                <w:color w:val="913592"/>
                <w:sz w:val="18"/>
                <w:lang w:bidi="es-ES"/>
              </w:rPr>
              <w:t xml:space="preserve">Preguntas para orientar el análisis de las fuentes de datos clave: </w:t>
            </w:r>
            <w:r>
              <w:rPr>
                <w:b/>
                <w:color w:val="913592"/>
                <w:sz w:val="18"/>
                <w:lang w:bidi="es-ES"/>
              </w:rPr>
              <w:br/>
              <w:t>Preguntas específicamente centradas en la EPI</w:t>
            </w:r>
          </w:p>
        </w:tc>
      </w:tr>
      <w:tr w:rsidR="00E35672" w14:paraId="6F84EF16" w14:textId="77777777" w:rsidTr="00556E9B">
        <w:trPr>
          <w:trHeight w:val="2639"/>
        </w:trPr>
        <w:tc>
          <w:tcPr>
            <w:tcW w:w="2264" w:type="dxa"/>
            <w:tcBorders>
              <w:left w:val="nil"/>
              <w:right w:val="nil"/>
            </w:tcBorders>
            <w:shd w:val="clear" w:color="auto" w:fill="F1F2F2"/>
            <w:vAlign w:val="center"/>
          </w:tcPr>
          <w:p w14:paraId="1232F6F0" w14:textId="25B3672B" w:rsidR="00E35672" w:rsidRDefault="003125F6" w:rsidP="00530B69">
            <w:pPr>
              <w:pStyle w:val="TableParagraph"/>
              <w:jc w:val="center"/>
              <w:rPr>
                <w:b/>
                <w:sz w:val="18"/>
              </w:rPr>
            </w:pPr>
            <w:r>
              <w:rPr>
                <w:b/>
                <w:color w:val="913592"/>
                <w:sz w:val="18"/>
                <w:lang w:bidi="es-ES"/>
              </w:rPr>
              <w:t xml:space="preserve">Grupo Integrado </w:t>
            </w:r>
            <w:r w:rsidR="00530B69">
              <w:rPr>
                <w:b/>
                <w:color w:val="913592"/>
                <w:sz w:val="18"/>
                <w:lang w:bidi="es-ES"/>
              </w:rPr>
              <w:br/>
            </w:r>
            <w:r>
              <w:rPr>
                <w:b/>
                <w:color w:val="913592"/>
                <w:sz w:val="18"/>
                <w:lang w:bidi="es-ES"/>
              </w:rPr>
              <w:t>de Educación en Situaciones de Emergencia</w:t>
            </w:r>
          </w:p>
        </w:tc>
        <w:tc>
          <w:tcPr>
            <w:tcW w:w="4830" w:type="dxa"/>
            <w:tcBorders>
              <w:left w:val="nil"/>
            </w:tcBorders>
          </w:tcPr>
          <w:p w14:paraId="48380C1C" w14:textId="77777777" w:rsidR="00E35672" w:rsidRDefault="003125F6" w:rsidP="007A24B1">
            <w:pPr>
              <w:pStyle w:val="TableParagraph"/>
              <w:spacing w:before="155"/>
              <w:ind w:left="117" w:right="357"/>
              <w:rPr>
                <w:sz w:val="18"/>
              </w:rPr>
            </w:pPr>
            <w:r>
              <w:rPr>
                <w:color w:val="57585B"/>
                <w:sz w:val="18"/>
                <w:lang w:bidi="es-ES"/>
              </w:rPr>
              <w:t>En las situaciones frágiles y afectadas por crisis, o en los contextos en los que acaba de terminar una crisis, el examen sectorial conjunto puede basarse en información de los asociados pertenecientes al Grupo Integrado de Educación en Situaciones de Emergencia acerca de lo que ha funcionado en materia de educación con relación a las estrategias e intervenciones para promover el acceso educacional, la calidad del aprendizaje y el bienestar de los niños.</w:t>
            </w:r>
          </w:p>
        </w:tc>
        <w:tc>
          <w:tcPr>
            <w:tcW w:w="6478" w:type="dxa"/>
            <w:tcBorders>
              <w:right w:val="nil"/>
            </w:tcBorders>
          </w:tcPr>
          <w:p w14:paraId="29356D7B" w14:textId="77777777" w:rsidR="00E35672" w:rsidRDefault="003125F6" w:rsidP="007A24B1">
            <w:pPr>
              <w:pStyle w:val="TableParagraph"/>
              <w:numPr>
                <w:ilvl w:val="0"/>
                <w:numId w:val="11"/>
              </w:numPr>
              <w:tabs>
                <w:tab w:val="left" w:pos="396"/>
              </w:tabs>
              <w:spacing w:before="155"/>
              <w:ind w:hanging="283"/>
              <w:rPr>
                <w:sz w:val="18"/>
              </w:rPr>
            </w:pPr>
            <w:r>
              <w:rPr>
                <w:color w:val="57585B"/>
                <w:sz w:val="18"/>
                <w:lang w:bidi="es-ES"/>
              </w:rPr>
              <w:t>¿Ha habido una emergencia o crisis prolongada en los últimos tres años?</w:t>
            </w:r>
          </w:p>
          <w:p w14:paraId="01B5E353" w14:textId="77777777" w:rsidR="00E35672" w:rsidRDefault="003125F6" w:rsidP="007A24B1">
            <w:pPr>
              <w:pStyle w:val="TableParagraph"/>
              <w:numPr>
                <w:ilvl w:val="0"/>
                <w:numId w:val="11"/>
              </w:numPr>
              <w:tabs>
                <w:tab w:val="left" w:pos="396"/>
              </w:tabs>
              <w:spacing w:before="147"/>
              <w:ind w:right="107" w:hanging="283"/>
              <w:rPr>
                <w:sz w:val="18"/>
              </w:rPr>
            </w:pPr>
            <w:r>
              <w:rPr>
                <w:color w:val="57585B"/>
                <w:sz w:val="18"/>
                <w:lang w:bidi="es-ES"/>
              </w:rPr>
              <w:t>En caso afirmativo, ¿se prestaron servicios de EPI durante la emergencia? ¿Quién se encargó de prestar estos servicios? ¿Se ajustaron al plan de estudios nacional del país de acogida? ¿Recibieron apoyo o supervisión del gobierno de acogida?</w:t>
            </w:r>
          </w:p>
          <w:p w14:paraId="39DEA040" w14:textId="77777777" w:rsidR="00E35672" w:rsidRDefault="003125F6" w:rsidP="007A24B1">
            <w:pPr>
              <w:pStyle w:val="TableParagraph"/>
              <w:numPr>
                <w:ilvl w:val="0"/>
                <w:numId w:val="11"/>
              </w:numPr>
              <w:tabs>
                <w:tab w:val="left" w:pos="396"/>
              </w:tabs>
              <w:spacing w:before="113"/>
              <w:ind w:right="262" w:hanging="283"/>
              <w:rPr>
                <w:sz w:val="18"/>
              </w:rPr>
            </w:pPr>
            <w:r>
              <w:rPr>
                <w:color w:val="57585B"/>
                <w:sz w:val="18"/>
                <w:lang w:bidi="es-ES"/>
              </w:rPr>
              <w:t>¿El análisis de los datos disponibles sobre seguimiento, evaluación y ejecución proporciona lecciones o conclusiones en lo que respecta a las estrategias de intervención?</w:t>
            </w:r>
          </w:p>
          <w:p w14:paraId="2CB67A77" w14:textId="77777777" w:rsidR="00E35672" w:rsidRDefault="003125F6" w:rsidP="007A24B1">
            <w:pPr>
              <w:pStyle w:val="TableParagraph"/>
              <w:numPr>
                <w:ilvl w:val="0"/>
                <w:numId w:val="11"/>
              </w:numPr>
              <w:tabs>
                <w:tab w:val="left" w:pos="396"/>
              </w:tabs>
              <w:spacing w:before="113"/>
              <w:ind w:right="444" w:hanging="283"/>
              <w:rPr>
                <w:sz w:val="18"/>
              </w:rPr>
            </w:pPr>
            <w:r>
              <w:rPr>
                <w:color w:val="57585B"/>
                <w:sz w:val="18"/>
                <w:lang w:bidi="es-ES"/>
              </w:rPr>
              <w:t>¿Estas lecciones están siendo utilizadas para fundamentar las estrategias en torno al acceso, la calidad y el bienestar?</w:t>
            </w:r>
          </w:p>
        </w:tc>
      </w:tr>
      <w:tr w:rsidR="00E35672" w14:paraId="4B7B2B57" w14:textId="77777777" w:rsidTr="00556E9B">
        <w:trPr>
          <w:trHeight w:val="3103"/>
        </w:trPr>
        <w:tc>
          <w:tcPr>
            <w:tcW w:w="2264" w:type="dxa"/>
            <w:tcBorders>
              <w:left w:val="nil"/>
              <w:right w:val="nil"/>
            </w:tcBorders>
            <w:shd w:val="clear" w:color="auto" w:fill="F1F2F2"/>
            <w:vAlign w:val="center"/>
          </w:tcPr>
          <w:p w14:paraId="30D64CAC" w14:textId="0D1DBA2E" w:rsidR="00E35672" w:rsidRDefault="003125F6" w:rsidP="00530B69">
            <w:pPr>
              <w:pStyle w:val="TableParagraph"/>
              <w:jc w:val="center"/>
              <w:rPr>
                <w:b/>
                <w:sz w:val="18"/>
              </w:rPr>
            </w:pPr>
            <w:r>
              <w:rPr>
                <w:b/>
                <w:color w:val="913592"/>
                <w:sz w:val="18"/>
                <w:lang w:bidi="es-ES"/>
              </w:rPr>
              <w:t xml:space="preserve">Compromisos </w:t>
            </w:r>
            <w:r w:rsidR="00B960DD">
              <w:rPr>
                <w:b/>
                <w:color w:val="913592"/>
                <w:sz w:val="18"/>
                <w:lang w:bidi="es-ES"/>
              </w:rPr>
              <w:br/>
            </w:r>
            <w:r>
              <w:rPr>
                <w:b/>
                <w:color w:val="913592"/>
                <w:sz w:val="18"/>
                <w:lang w:bidi="es-ES"/>
              </w:rPr>
              <w:t xml:space="preserve">mundiales, informes temáticos o </w:t>
            </w:r>
            <w:proofErr w:type="spellStart"/>
            <w:r>
              <w:rPr>
                <w:b/>
                <w:color w:val="913592"/>
                <w:sz w:val="18"/>
                <w:lang w:bidi="es-ES"/>
              </w:rPr>
              <w:t>subsectoriales</w:t>
            </w:r>
            <w:proofErr w:type="spellEnd"/>
          </w:p>
        </w:tc>
        <w:tc>
          <w:tcPr>
            <w:tcW w:w="4830" w:type="dxa"/>
            <w:tcBorders>
              <w:left w:val="nil"/>
            </w:tcBorders>
          </w:tcPr>
          <w:p w14:paraId="28483A27" w14:textId="77777777" w:rsidR="00E35672" w:rsidRDefault="003125F6" w:rsidP="007A24B1">
            <w:pPr>
              <w:pStyle w:val="TableParagraph"/>
              <w:spacing w:before="155"/>
              <w:ind w:left="117" w:right="308"/>
              <w:rPr>
                <w:sz w:val="18"/>
              </w:rPr>
            </w:pPr>
            <w:r>
              <w:rPr>
                <w:color w:val="57585B"/>
                <w:sz w:val="18"/>
                <w:lang w:bidi="es-ES"/>
              </w:rPr>
              <w:t>Esto puede incluir informes exhaustivos durante el año que está siendo examinado (o justo antes) encargados o realizados por diferentes ministerios, asociados para el desarrollo e institutos de investigación, así como organizaciones de la sociedad civil, incluidos los informes de la Convención sobre la Eliminación de Todas las Formas de Discriminación contra la Mujer de las Naciones Unidas y de los Objetivos de Desarrollo Sostenible. Esto puede ayudar a identificar las causas subyacentes con relación a las dificultades persistentes en el aprendizaje de los alumnos, deserción escolar, jóvenes sin escolarizar, absentismo de los docentes, desempeño institucional, eficacia financiera y otros problemas operacionales.</w:t>
            </w:r>
          </w:p>
        </w:tc>
        <w:tc>
          <w:tcPr>
            <w:tcW w:w="6478" w:type="dxa"/>
            <w:tcBorders>
              <w:right w:val="nil"/>
            </w:tcBorders>
          </w:tcPr>
          <w:p w14:paraId="75EBB192" w14:textId="77777777" w:rsidR="00E35672" w:rsidRDefault="003125F6" w:rsidP="007A24B1">
            <w:pPr>
              <w:pStyle w:val="TableParagraph"/>
              <w:numPr>
                <w:ilvl w:val="0"/>
                <w:numId w:val="10"/>
              </w:numPr>
              <w:tabs>
                <w:tab w:val="left" w:pos="396"/>
              </w:tabs>
              <w:spacing w:before="155"/>
              <w:ind w:right="480" w:hanging="283"/>
              <w:rPr>
                <w:sz w:val="18"/>
              </w:rPr>
            </w:pPr>
            <w:r>
              <w:rPr>
                <w:color w:val="57585B"/>
                <w:sz w:val="18"/>
                <w:lang w:bidi="es-ES"/>
              </w:rPr>
              <w:t>¿Se ha elaborado algún informe exhaustivo sobre el subsector de la EPI durante el año que está siendo examinado? En caso afirmativo, ¿contienen estos informes datos para fundamentar el informe con respecto al plan de trabajo anual?</w:t>
            </w:r>
          </w:p>
          <w:p w14:paraId="6E083236" w14:textId="77777777" w:rsidR="00E35672" w:rsidRDefault="003125F6" w:rsidP="007A24B1">
            <w:pPr>
              <w:pStyle w:val="TableParagraph"/>
              <w:numPr>
                <w:ilvl w:val="0"/>
                <w:numId w:val="10"/>
              </w:numPr>
              <w:tabs>
                <w:tab w:val="left" w:pos="396"/>
              </w:tabs>
              <w:spacing w:before="113"/>
              <w:ind w:right="129" w:hanging="283"/>
              <w:rPr>
                <w:sz w:val="18"/>
              </w:rPr>
            </w:pPr>
            <w:r>
              <w:rPr>
                <w:color w:val="57585B"/>
                <w:sz w:val="18"/>
                <w:lang w:bidi="es-ES"/>
              </w:rPr>
              <w:t>¿Existen dificultades notables que contribuyan a las dificultades persistentes en el aprendizaje de los alumnos, deserción escolar, jóvenes sin escolarizar, absentismo de los docentes, desempeño institucional, eficacia financiera y otros problemas operacionales?</w:t>
            </w:r>
          </w:p>
        </w:tc>
      </w:tr>
      <w:tr w:rsidR="00E35672" w14:paraId="17FBB2D5" w14:textId="77777777" w:rsidTr="00556E9B">
        <w:trPr>
          <w:trHeight w:val="2112"/>
        </w:trPr>
        <w:tc>
          <w:tcPr>
            <w:tcW w:w="2264" w:type="dxa"/>
            <w:tcBorders>
              <w:left w:val="nil"/>
              <w:right w:val="nil"/>
            </w:tcBorders>
            <w:shd w:val="clear" w:color="auto" w:fill="F1F2F2"/>
            <w:vAlign w:val="center"/>
          </w:tcPr>
          <w:p w14:paraId="24127CDC" w14:textId="660E303C" w:rsidR="00E35672" w:rsidRDefault="003125F6" w:rsidP="00530B69">
            <w:pPr>
              <w:pStyle w:val="TableParagraph"/>
              <w:spacing w:before="1"/>
              <w:ind w:left="107" w:right="100"/>
              <w:jc w:val="center"/>
              <w:rPr>
                <w:b/>
                <w:sz w:val="10"/>
              </w:rPr>
            </w:pPr>
            <w:r>
              <w:rPr>
                <w:b/>
                <w:color w:val="913592"/>
                <w:sz w:val="18"/>
                <w:lang w:bidi="es-ES"/>
              </w:rPr>
              <w:t xml:space="preserve">Entrevistas </w:t>
            </w:r>
            <w:r w:rsidR="00530B69">
              <w:rPr>
                <w:b/>
                <w:color w:val="913592"/>
                <w:sz w:val="18"/>
                <w:lang w:bidi="es-ES"/>
              </w:rPr>
              <w:br/>
            </w:r>
            <w:r>
              <w:rPr>
                <w:b/>
                <w:color w:val="913592"/>
                <w:sz w:val="18"/>
                <w:lang w:bidi="es-ES"/>
              </w:rPr>
              <w:t>a las partes interesadas</w:t>
            </w:r>
            <w:r>
              <w:rPr>
                <w:b/>
                <w:color w:val="913592"/>
                <w:position w:val="6"/>
                <w:sz w:val="10"/>
                <w:lang w:bidi="es-ES"/>
              </w:rPr>
              <w:t>2</w:t>
            </w:r>
          </w:p>
        </w:tc>
        <w:tc>
          <w:tcPr>
            <w:tcW w:w="4830" w:type="dxa"/>
            <w:tcBorders>
              <w:left w:val="nil"/>
            </w:tcBorders>
          </w:tcPr>
          <w:p w14:paraId="40D9568F" w14:textId="6C111864" w:rsidR="00E35672" w:rsidRDefault="003125F6" w:rsidP="007A24B1">
            <w:pPr>
              <w:pStyle w:val="TableParagraph"/>
              <w:spacing w:before="155"/>
              <w:ind w:left="117" w:right="367"/>
              <w:rPr>
                <w:sz w:val="18"/>
              </w:rPr>
            </w:pPr>
            <w:r>
              <w:rPr>
                <w:color w:val="57585B"/>
                <w:sz w:val="18"/>
                <w:lang w:bidi="es-ES"/>
              </w:rPr>
              <w:t>Permitir a las partes interesadas, particularmente a las que no forman parte del ministerio responsable del sector educativo, que recopilen las pruebas directamente a partir de los representantes del distrito o las</w:t>
            </w:r>
            <w:r w:rsidR="00F26B16">
              <w:rPr>
                <w:color w:val="57585B"/>
                <w:sz w:val="18"/>
                <w:lang w:bidi="es-ES"/>
              </w:rPr>
              <w:t xml:space="preserve"> </w:t>
            </w:r>
            <w:r>
              <w:rPr>
                <w:color w:val="57585B"/>
                <w:sz w:val="18"/>
                <w:lang w:bidi="es-ES"/>
              </w:rPr>
              <w:t>oficinas educativas regionales, docentes, dirección de las escuelas, comités de gestión académica, progenitores, otros cuidadores y redes juveniles.</w:t>
            </w:r>
          </w:p>
        </w:tc>
        <w:tc>
          <w:tcPr>
            <w:tcW w:w="6478" w:type="dxa"/>
            <w:tcBorders>
              <w:right w:val="nil"/>
            </w:tcBorders>
          </w:tcPr>
          <w:p w14:paraId="6CDA89AF" w14:textId="77777777" w:rsidR="00E35672" w:rsidRDefault="003125F6" w:rsidP="007A24B1">
            <w:pPr>
              <w:pStyle w:val="TableParagraph"/>
              <w:numPr>
                <w:ilvl w:val="0"/>
                <w:numId w:val="9"/>
              </w:numPr>
              <w:tabs>
                <w:tab w:val="left" w:pos="396"/>
              </w:tabs>
              <w:spacing w:before="155"/>
              <w:ind w:right="397" w:hanging="283"/>
              <w:rPr>
                <w:sz w:val="18"/>
              </w:rPr>
            </w:pPr>
            <w:r>
              <w:rPr>
                <w:color w:val="57585B"/>
                <w:sz w:val="18"/>
                <w:lang w:bidi="es-ES"/>
              </w:rPr>
              <w:t>¿Existe un proceso relativo a la participación de las partes interesadas a escala nacional, regional, distrital y escolar anterior al examen sectorial conjunto?</w:t>
            </w:r>
          </w:p>
          <w:p w14:paraId="16E0E155" w14:textId="77777777" w:rsidR="00E35672" w:rsidRDefault="003125F6" w:rsidP="007A24B1">
            <w:pPr>
              <w:pStyle w:val="TableParagraph"/>
              <w:numPr>
                <w:ilvl w:val="0"/>
                <w:numId w:val="9"/>
              </w:numPr>
              <w:tabs>
                <w:tab w:val="left" w:pos="396"/>
              </w:tabs>
              <w:spacing w:before="114"/>
              <w:ind w:right="175" w:hanging="283"/>
              <w:rPr>
                <w:sz w:val="18"/>
              </w:rPr>
            </w:pPr>
            <w:r>
              <w:rPr>
                <w:color w:val="57585B"/>
                <w:sz w:val="18"/>
                <w:lang w:bidi="es-ES"/>
              </w:rPr>
              <w:t>¿Existen herramientas estructuradas para facilitar la participación de las partes interesadas en la recopilación de los datos?</w:t>
            </w:r>
          </w:p>
          <w:p w14:paraId="4C313CF0" w14:textId="77777777" w:rsidR="00E35672" w:rsidRDefault="003125F6" w:rsidP="007A24B1">
            <w:pPr>
              <w:pStyle w:val="TableParagraph"/>
              <w:numPr>
                <w:ilvl w:val="0"/>
                <w:numId w:val="9"/>
              </w:numPr>
              <w:tabs>
                <w:tab w:val="left" w:pos="396"/>
              </w:tabs>
              <w:spacing w:before="113"/>
              <w:ind w:right="516" w:hanging="283"/>
              <w:rPr>
                <w:sz w:val="18"/>
              </w:rPr>
            </w:pPr>
            <w:r>
              <w:rPr>
                <w:color w:val="57585B"/>
                <w:sz w:val="18"/>
                <w:lang w:bidi="es-ES"/>
              </w:rPr>
              <w:t>¿Los resultados de la participación de las partes interesadas se utilizan para fundamentar el informe con respecto al plan de trabajo anual?</w:t>
            </w:r>
          </w:p>
        </w:tc>
      </w:tr>
    </w:tbl>
    <w:p w14:paraId="2E086195" w14:textId="77777777" w:rsidR="00E35672" w:rsidRDefault="00E35672" w:rsidP="007A24B1">
      <w:pPr>
        <w:pStyle w:val="Textoindependiente"/>
        <w:spacing w:before="6"/>
        <w:rPr>
          <w:rFonts w:ascii="Times New Roman"/>
          <w:sz w:val="18"/>
        </w:rPr>
      </w:pPr>
    </w:p>
    <w:p w14:paraId="118C07F9" w14:textId="123C01AC" w:rsidR="00F26B16" w:rsidRPr="00272073" w:rsidRDefault="003125F6" w:rsidP="007A24B1">
      <w:pPr>
        <w:spacing w:before="95"/>
        <w:ind w:left="273"/>
        <w:rPr>
          <w:sz w:val="14"/>
          <w:lang w:val="en-GB"/>
        </w:rPr>
      </w:pPr>
      <w:r w:rsidRPr="006C4C7D">
        <w:rPr>
          <w:color w:val="6D6E71"/>
          <w:sz w:val="14"/>
          <w:lang w:val="en-GB" w:bidi="es-ES"/>
        </w:rPr>
        <w:t xml:space="preserve">Fuente: </w:t>
      </w:r>
      <w:r w:rsidRPr="006C4C7D">
        <w:rPr>
          <w:i/>
          <w:color w:val="6D6E71"/>
          <w:sz w:val="14"/>
          <w:lang w:val="en-GB" w:bidi="es-ES"/>
        </w:rPr>
        <w:t>Joint Sector Reviews in the Education Sector</w:t>
      </w:r>
      <w:r w:rsidRPr="006C4C7D">
        <w:rPr>
          <w:color w:val="6D6E71"/>
          <w:sz w:val="14"/>
          <w:lang w:val="en-GB" w:bidi="es-ES"/>
        </w:rPr>
        <w:t xml:space="preserve">. </w:t>
      </w:r>
      <w:r w:rsidRPr="006C4C7D">
        <w:rPr>
          <w:i/>
          <w:color w:val="6D6E71"/>
          <w:sz w:val="14"/>
          <w:lang w:val="en-GB" w:bidi="es-ES"/>
        </w:rPr>
        <w:t>A practical guide for organizing effective JSRs</w:t>
      </w:r>
      <w:r w:rsidRPr="006C4C7D">
        <w:rPr>
          <w:color w:val="6D6E71"/>
          <w:sz w:val="14"/>
          <w:lang w:val="en-GB" w:bidi="es-ES"/>
        </w:rPr>
        <w:t>, 2018.</w:t>
      </w:r>
    </w:p>
    <w:p w14:paraId="462222CA" w14:textId="77777777" w:rsidR="00E35672" w:rsidRPr="006C4C7D" w:rsidRDefault="00E35672" w:rsidP="007A24B1">
      <w:pPr>
        <w:pStyle w:val="Textoindependiente"/>
        <w:spacing w:before="7"/>
        <w:rPr>
          <w:lang w:val="en-GB"/>
        </w:rPr>
      </w:pPr>
    </w:p>
    <w:p w14:paraId="269D8643" w14:textId="01ADA34E" w:rsidR="00E35672" w:rsidRDefault="00960D53" w:rsidP="007A24B1">
      <w:pPr>
        <w:ind w:left="557" w:right="262" w:hanging="284"/>
        <w:jc w:val="both"/>
        <w:rPr>
          <w:sz w:val="14"/>
        </w:rPr>
      </w:pPr>
      <w:hyperlink w:anchor="_bookmark0" w:history="1">
        <w:r w:rsidR="003125F6">
          <w:rPr>
            <w:color w:val="6D6E71"/>
            <w:sz w:val="14"/>
            <w:lang w:bidi="es-ES"/>
          </w:rPr>
          <w:t>2</w:t>
        </w:r>
      </w:hyperlink>
      <w:r w:rsidR="003125F6">
        <w:rPr>
          <w:color w:val="6D6E71"/>
          <w:sz w:val="14"/>
          <w:lang w:bidi="es-ES"/>
        </w:rPr>
        <w:t xml:space="preserve"> </w:t>
      </w:r>
      <w:r w:rsidR="00272073">
        <w:rPr>
          <w:color w:val="6D6E71"/>
          <w:sz w:val="14"/>
          <w:lang w:bidi="es-ES"/>
        </w:rPr>
        <w:t xml:space="preserve">    </w:t>
      </w:r>
      <w:r w:rsidR="003125F6">
        <w:rPr>
          <w:color w:val="6D6E71"/>
          <w:sz w:val="14"/>
          <w:lang w:bidi="es-ES"/>
        </w:rPr>
        <w:t xml:space="preserve">A modo de ejemplo, antes de la realización de su examen sectorial conjunto en 2019, el Gobierno de </w:t>
      </w:r>
      <w:proofErr w:type="spellStart"/>
      <w:r w:rsidR="003125F6">
        <w:rPr>
          <w:color w:val="6D6E71"/>
          <w:sz w:val="14"/>
          <w:lang w:bidi="es-ES"/>
        </w:rPr>
        <w:t>Tanzanía</w:t>
      </w:r>
      <w:proofErr w:type="spellEnd"/>
      <w:r w:rsidR="003125F6">
        <w:rPr>
          <w:color w:val="6D6E71"/>
          <w:sz w:val="14"/>
          <w:lang w:bidi="es-ES"/>
        </w:rPr>
        <w:t xml:space="preserve"> organizó visitas sobre el terreno a seis regiones. Esto presentó una oportunidad fundamental para evaluar la ejecución anual de las metas descritas en el plan educativo para el período de 2017 a 2021 y para observar las mejores prácticas y dificultades de varios programas aplicados en las instituciones educativas. Los hallazgos de las visitas revelaron importantes dificultades en el subsector de la EPI, como, por ejemplo, que varias escuelas carecían de aulas de preescolar y que las lecciones se impartían en aulas comunes sin métodos ni materiales de aprendizaje adecuados a la edad.</w:t>
      </w:r>
    </w:p>
    <w:p w14:paraId="04347AE1" w14:textId="77777777" w:rsidR="00E35672" w:rsidRDefault="00E35672" w:rsidP="007A24B1">
      <w:pPr>
        <w:jc w:val="both"/>
        <w:rPr>
          <w:sz w:val="14"/>
        </w:rPr>
        <w:sectPr w:rsidR="00E35672">
          <w:pgSz w:w="15840" w:h="12240" w:orient="landscape"/>
          <w:pgMar w:top="840" w:right="940" w:bottom="280" w:left="860" w:header="574" w:footer="0" w:gutter="0"/>
          <w:cols w:space="720"/>
        </w:sectPr>
      </w:pPr>
    </w:p>
    <w:p w14:paraId="6C5AC89A" w14:textId="486EC991" w:rsidR="00E35672" w:rsidRDefault="003125F6" w:rsidP="007A24B1">
      <w:pPr>
        <w:pStyle w:val="Ttulo1"/>
        <w:spacing w:before="114"/>
      </w:pPr>
      <w:r>
        <w:rPr>
          <w:color w:val="913592"/>
          <w:lang w:bidi="es-ES"/>
        </w:rPr>
        <w:lastRenderedPageBreak/>
        <w:t>CUADRO 3</w:t>
      </w:r>
    </w:p>
    <w:p w14:paraId="71CEA4FE" w14:textId="77777777" w:rsidR="00E35672" w:rsidRDefault="00E35672" w:rsidP="007A24B1">
      <w:pPr>
        <w:pStyle w:val="Textoindependiente"/>
        <w:spacing w:before="3"/>
        <w:rPr>
          <w:b/>
          <w:sz w:val="27"/>
        </w:rPr>
      </w:pPr>
    </w:p>
    <w:p w14:paraId="5570444F" w14:textId="35D59D52" w:rsidR="00E35672" w:rsidRDefault="003125F6" w:rsidP="00D528DB">
      <w:pPr>
        <w:pStyle w:val="Textoindependiente"/>
        <w:ind w:left="143" w:right="6"/>
      </w:pPr>
      <w:r>
        <w:rPr>
          <w:color w:val="57585B"/>
          <w:spacing w:val="-3"/>
          <w:lang w:bidi="es-ES"/>
        </w:rPr>
        <w:t>El cuadro 3 describe las características del examen sectorial conjunto que son importantes para el Grupo de Trabajo Técnico sobre EPI, con el fin de a) entender; b) reflexionar sobre la manera en que la EPI debería estar incluida en el examen sectorial conjunto dentro del contexto de cada país; y c) respaldar los esfuerzos y diálogos de planificación con las partes interesadas del sector educativo en general que dirigen la preparación y facilitación del examen sectorial conjunto.</w:t>
      </w:r>
    </w:p>
    <w:p w14:paraId="5E1B8A0A" w14:textId="63CB7D2D" w:rsidR="0056429F" w:rsidRDefault="0056429F" w:rsidP="0056429F">
      <w:pPr>
        <w:pStyle w:val="Textoindependiente"/>
        <w:rPr>
          <w:color w:val="57585B"/>
          <w:sz w:val="18"/>
          <w:szCs w:val="18"/>
          <w:lang w:bidi="es-ES"/>
        </w:rPr>
      </w:pPr>
    </w:p>
    <w:p w14:paraId="6A0DDC2C" w14:textId="77777777" w:rsidR="0056429F" w:rsidRDefault="0056429F" w:rsidP="007A24B1">
      <w:pPr>
        <w:pStyle w:val="Textoindependiente"/>
        <w:spacing w:before="4"/>
        <w:rPr>
          <w:b/>
          <w:sz w:val="8"/>
        </w:rPr>
      </w:pPr>
    </w:p>
    <w:tbl>
      <w:tblPr>
        <w:tblStyle w:val="TableNormal1"/>
        <w:tblW w:w="0" w:type="auto"/>
        <w:tblInd w:w="15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8"/>
        <w:gridCol w:w="5387"/>
        <w:gridCol w:w="6255"/>
      </w:tblGrid>
      <w:tr w:rsidR="0056429F" w14:paraId="577541A9" w14:textId="77777777" w:rsidTr="005D695E">
        <w:trPr>
          <w:trHeight w:val="361"/>
        </w:trPr>
        <w:tc>
          <w:tcPr>
            <w:tcW w:w="13760" w:type="dxa"/>
            <w:gridSpan w:val="3"/>
            <w:tcBorders>
              <w:left w:val="nil"/>
              <w:right w:val="nil"/>
            </w:tcBorders>
            <w:vAlign w:val="center"/>
          </w:tcPr>
          <w:p w14:paraId="43DB8474" w14:textId="5B72A183" w:rsidR="0056429F" w:rsidRPr="0056429F" w:rsidRDefault="0056429F" w:rsidP="005D695E">
            <w:pPr>
              <w:pStyle w:val="Textoindependiente"/>
              <w:spacing w:before="100"/>
              <w:jc w:val="center"/>
              <w:rPr>
                <w:b/>
                <w:sz w:val="8"/>
              </w:rPr>
            </w:pPr>
            <w:r w:rsidRPr="0056429F">
              <w:rPr>
                <w:b/>
                <w:color w:val="57585B"/>
                <w:sz w:val="18"/>
                <w:szCs w:val="18"/>
                <w:lang w:bidi="es-ES"/>
              </w:rPr>
              <w:t>Cuadro 3: Características del examen sectorial conjunto y ejemplos de países que demuestran cómo se puede reflejar el subsector de la EPI</w:t>
            </w:r>
          </w:p>
        </w:tc>
      </w:tr>
      <w:tr w:rsidR="00E35672" w14:paraId="5B646CD9" w14:textId="77777777" w:rsidTr="00940941">
        <w:trPr>
          <w:trHeight w:val="361"/>
        </w:trPr>
        <w:tc>
          <w:tcPr>
            <w:tcW w:w="2118" w:type="dxa"/>
            <w:tcBorders>
              <w:left w:val="nil"/>
              <w:right w:val="nil"/>
            </w:tcBorders>
          </w:tcPr>
          <w:p w14:paraId="5101B569" w14:textId="77777777" w:rsidR="00E35672" w:rsidRDefault="00E35672" w:rsidP="00940941">
            <w:pPr>
              <w:pStyle w:val="TableParagraph"/>
              <w:spacing w:before="60"/>
              <w:rPr>
                <w:rFonts w:ascii="Times New Roman"/>
                <w:sz w:val="18"/>
              </w:rPr>
            </w:pPr>
          </w:p>
        </w:tc>
        <w:tc>
          <w:tcPr>
            <w:tcW w:w="5387" w:type="dxa"/>
            <w:tcBorders>
              <w:left w:val="nil"/>
              <w:right w:val="nil"/>
            </w:tcBorders>
          </w:tcPr>
          <w:p w14:paraId="49996080" w14:textId="77777777" w:rsidR="00E35672" w:rsidRPr="00E12E73" w:rsidRDefault="003125F6" w:rsidP="00940941">
            <w:pPr>
              <w:pStyle w:val="TableParagraph"/>
              <w:spacing w:before="60"/>
              <w:jc w:val="center"/>
              <w:rPr>
                <w:b/>
                <w:sz w:val="18"/>
                <w:szCs w:val="18"/>
              </w:rPr>
            </w:pPr>
            <w:r w:rsidRPr="00E12E73">
              <w:rPr>
                <w:b/>
                <w:color w:val="913592"/>
                <w:sz w:val="18"/>
                <w:szCs w:val="18"/>
                <w:lang w:bidi="es-ES"/>
              </w:rPr>
              <w:t>Características del examen sectorial conjunto anual</w:t>
            </w:r>
          </w:p>
        </w:tc>
        <w:tc>
          <w:tcPr>
            <w:tcW w:w="6255" w:type="dxa"/>
            <w:tcBorders>
              <w:left w:val="nil"/>
              <w:right w:val="nil"/>
            </w:tcBorders>
          </w:tcPr>
          <w:p w14:paraId="1C17E2CC" w14:textId="77777777" w:rsidR="00E35672" w:rsidRPr="00E12E73" w:rsidRDefault="003125F6" w:rsidP="00940941">
            <w:pPr>
              <w:pStyle w:val="TableParagraph"/>
              <w:spacing w:before="60"/>
              <w:jc w:val="center"/>
              <w:rPr>
                <w:b/>
                <w:sz w:val="18"/>
                <w:szCs w:val="18"/>
              </w:rPr>
            </w:pPr>
            <w:r w:rsidRPr="00E12E73">
              <w:rPr>
                <w:b/>
                <w:color w:val="913592"/>
                <w:sz w:val="18"/>
                <w:szCs w:val="18"/>
                <w:lang w:bidi="es-ES"/>
              </w:rPr>
              <w:t>Consideraciones específicas para el subsector de la EPI</w:t>
            </w:r>
          </w:p>
        </w:tc>
      </w:tr>
      <w:tr w:rsidR="00E35672" w14:paraId="299E99B3" w14:textId="77777777" w:rsidTr="008458FD">
        <w:trPr>
          <w:trHeight w:val="2394"/>
        </w:trPr>
        <w:tc>
          <w:tcPr>
            <w:tcW w:w="2118" w:type="dxa"/>
            <w:tcBorders>
              <w:left w:val="nil"/>
              <w:right w:val="nil"/>
            </w:tcBorders>
            <w:shd w:val="clear" w:color="auto" w:fill="F1F2F2"/>
            <w:vAlign w:val="center"/>
          </w:tcPr>
          <w:p w14:paraId="4C22DD50" w14:textId="77777777" w:rsidR="00E35672" w:rsidRDefault="003125F6" w:rsidP="00585648">
            <w:pPr>
              <w:pStyle w:val="TableParagraph"/>
              <w:ind w:right="293"/>
              <w:jc w:val="center"/>
              <w:rPr>
                <w:b/>
                <w:sz w:val="18"/>
              </w:rPr>
            </w:pPr>
            <w:r>
              <w:rPr>
                <w:b/>
                <w:color w:val="913592"/>
                <w:sz w:val="18"/>
                <w:lang w:bidi="es-ES"/>
              </w:rPr>
              <w:t>Propósito</w:t>
            </w:r>
          </w:p>
        </w:tc>
        <w:tc>
          <w:tcPr>
            <w:tcW w:w="5387" w:type="dxa"/>
            <w:tcBorders>
              <w:left w:val="nil"/>
            </w:tcBorders>
          </w:tcPr>
          <w:p w14:paraId="7091193C" w14:textId="77777777" w:rsidR="00E35672" w:rsidRPr="00E12E73" w:rsidRDefault="003125F6" w:rsidP="007A24B1">
            <w:pPr>
              <w:pStyle w:val="TableParagraph"/>
              <w:spacing w:before="127"/>
              <w:ind w:left="113" w:right="484"/>
              <w:rPr>
                <w:sz w:val="18"/>
              </w:rPr>
            </w:pPr>
            <w:r w:rsidRPr="00E12E73">
              <w:rPr>
                <w:color w:val="57585B"/>
                <w:sz w:val="18"/>
                <w:lang w:bidi="es-ES"/>
              </w:rPr>
              <w:t>Evaluar el progreso anual de la ejecución del plan sectorial para influir en la planificación operacional de los próximos años.</w:t>
            </w:r>
          </w:p>
        </w:tc>
        <w:tc>
          <w:tcPr>
            <w:tcW w:w="6255" w:type="dxa"/>
            <w:tcBorders>
              <w:right w:val="nil"/>
            </w:tcBorders>
          </w:tcPr>
          <w:p w14:paraId="59A4CC46" w14:textId="77777777" w:rsidR="00E35672" w:rsidRDefault="003125F6" w:rsidP="004876E8">
            <w:pPr>
              <w:pStyle w:val="TableParagraph"/>
              <w:spacing w:before="60"/>
              <w:ind w:left="113" w:right="125"/>
              <w:rPr>
                <w:sz w:val="18"/>
              </w:rPr>
            </w:pPr>
            <w:r>
              <w:rPr>
                <w:color w:val="57585B"/>
                <w:spacing w:val="-3"/>
                <w:sz w:val="18"/>
                <w:lang w:bidi="es-ES"/>
              </w:rPr>
              <w:t xml:space="preserve">El enfoque anual basado en el propósito de organizar un examen sectorial conjunto varía en función del país. </w:t>
            </w:r>
            <w:r>
              <w:rPr>
                <w:b/>
                <w:color w:val="57585B"/>
                <w:spacing w:val="-4"/>
                <w:sz w:val="18"/>
                <w:lang w:bidi="es-ES"/>
              </w:rPr>
              <w:t xml:space="preserve">En </w:t>
            </w:r>
            <w:proofErr w:type="spellStart"/>
            <w:r>
              <w:rPr>
                <w:b/>
                <w:color w:val="57585B"/>
                <w:spacing w:val="-4"/>
                <w:sz w:val="18"/>
                <w:lang w:bidi="es-ES"/>
              </w:rPr>
              <w:t>Tanzanía</w:t>
            </w:r>
            <w:proofErr w:type="spellEnd"/>
            <w:r>
              <w:rPr>
                <w:color w:val="57585B"/>
                <w:spacing w:val="-6"/>
                <w:sz w:val="18"/>
                <w:lang w:bidi="es-ES"/>
              </w:rPr>
              <w:t>, la EPI fue una esfera prioritaria en 2019 y el enfoque anual del examen sectorial conjunto fue “Impulsar el progreso en el ámbito de la educación mediante alianzas sólidas”.</w:t>
            </w:r>
          </w:p>
          <w:p w14:paraId="223D6D80" w14:textId="77777777" w:rsidR="00E35672" w:rsidRDefault="003125F6" w:rsidP="004876E8">
            <w:pPr>
              <w:pStyle w:val="TableParagraph"/>
              <w:spacing w:before="60"/>
              <w:ind w:left="107" w:right="386"/>
              <w:rPr>
                <w:sz w:val="18"/>
              </w:rPr>
            </w:pPr>
            <w:r>
              <w:rPr>
                <w:color w:val="57585B"/>
                <w:sz w:val="18"/>
                <w:lang w:bidi="es-ES"/>
              </w:rPr>
              <w:t xml:space="preserve">En </w:t>
            </w:r>
            <w:r>
              <w:rPr>
                <w:b/>
                <w:color w:val="57585B"/>
                <w:spacing w:val="-4"/>
                <w:sz w:val="18"/>
                <w:lang w:bidi="es-ES"/>
              </w:rPr>
              <w:t xml:space="preserve">2016, Burkina Faso </w:t>
            </w:r>
            <w:r>
              <w:rPr>
                <w:color w:val="57585B"/>
                <w:spacing w:val="-4"/>
                <w:sz w:val="18"/>
                <w:lang w:bidi="es-ES"/>
              </w:rPr>
              <w:t>empleó el siguiente tema: “En la intersección entre la planificación y el seguimiento de los esfuerzos en materia de educación”. Debido a que el examen sectorial conjunto se centró en la planificación y el seguimiento de los esfuerzos en materia de educación en todo el sistema, la EPI fue integrada y tenida en cuenta como una parte del sistema en las sesiones.</w:t>
            </w:r>
          </w:p>
        </w:tc>
      </w:tr>
      <w:tr w:rsidR="00E35672" w14:paraId="600B95E4" w14:textId="77777777" w:rsidTr="008458FD">
        <w:trPr>
          <w:trHeight w:val="1717"/>
        </w:trPr>
        <w:tc>
          <w:tcPr>
            <w:tcW w:w="2118" w:type="dxa"/>
            <w:tcBorders>
              <w:left w:val="nil"/>
              <w:right w:val="nil"/>
            </w:tcBorders>
            <w:shd w:val="clear" w:color="auto" w:fill="F1F2F2"/>
            <w:vAlign w:val="center"/>
          </w:tcPr>
          <w:p w14:paraId="4B168E17" w14:textId="77777777" w:rsidR="00E35672" w:rsidRDefault="003125F6" w:rsidP="00585648">
            <w:pPr>
              <w:pStyle w:val="TableParagraph"/>
              <w:ind w:left="293" w:right="293"/>
              <w:jc w:val="center"/>
              <w:rPr>
                <w:b/>
                <w:sz w:val="18"/>
              </w:rPr>
            </w:pPr>
            <w:r>
              <w:rPr>
                <w:b/>
                <w:color w:val="913592"/>
                <w:sz w:val="18"/>
                <w:lang w:bidi="es-ES"/>
              </w:rPr>
              <w:t>Cronograma</w:t>
            </w:r>
          </w:p>
        </w:tc>
        <w:tc>
          <w:tcPr>
            <w:tcW w:w="5387" w:type="dxa"/>
            <w:tcBorders>
              <w:left w:val="nil"/>
            </w:tcBorders>
          </w:tcPr>
          <w:p w14:paraId="3B55E9FD" w14:textId="77777777" w:rsidR="00E35672" w:rsidRDefault="003125F6" w:rsidP="007A24B1">
            <w:pPr>
              <w:pStyle w:val="TableParagraph"/>
              <w:spacing w:before="127"/>
              <w:ind w:left="113"/>
              <w:rPr>
                <w:sz w:val="18"/>
              </w:rPr>
            </w:pPr>
            <w:r>
              <w:rPr>
                <w:color w:val="57585B"/>
                <w:sz w:val="18"/>
                <w:lang w:bidi="es-ES"/>
              </w:rPr>
              <w:t>Anual o bianual</w:t>
            </w:r>
          </w:p>
        </w:tc>
        <w:tc>
          <w:tcPr>
            <w:tcW w:w="6255" w:type="dxa"/>
            <w:tcBorders>
              <w:right w:val="nil"/>
            </w:tcBorders>
          </w:tcPr>
          <w:p w14:paraId="35D06AC9" w14:textId="107A142C" w:rsidR="00616D0B" w:rsidRDefault="003125F6" w:rsidP="004876E8">
            <w:pPr>
              <w:pStyle w:val="TableParagraph"/>
              <w:spacing w:before="60"/>
              <w:ind w:left="113" w:right="113"/>
              <w:rPr>
                <w:color w:val="57585B"/>
                <w:spacing w:val="-3"/>
                <w:sz w:val="18"/>
                <w:lang w:bidi="es-ES"/>
              </w:rPr>
            </w:pPr>
            <w:r>
              <w:rPr>
                <w:color w:val="57585B"/>
                <w:sz w:val="18"/>
                <w:lang w:bidi="es-ES"/>
              </w:rPr>
              <w:t xml:space="preserve">Es importante entender el cronograma del examen sectorial conjunto para fundamentar la preparación y planificación. En </w:t>
            </w:r>
            <w:r>
              <w:rPr>
                <w:b/>
                <w:color w:val="57585B"/>
                <w:spacing w:val="-4"/>
                <w:sz w:val="18"/>
                <w:lang w:bidi="es-ES"/>
              </w:rPr>
              <w:t xml:space="preserve">Camboya, </w:t>
            </w:r>
            <w:r>
              <w:rPr>
                <w:color w:val="57585B"/>
                <w:spacing w:val="-3"/>
                <w:sz w:val="18"/>
                <w:lang w:bidi="es-ES"/>
              </w:rPr>
              <w:t>el examen sectorial conjunto se realiza anualmente e incluye elementos tanto retrospectivos como prospectivos (véanse las definiciones a continuación).</w:t>
            </w:r>
          </w:p>
          <w:p w14:paraId="366493CF" w14:textId="77777777" w:rsidR="008876F9" w:rsidRPr="008876F9" w:rsidRDefault="008876F9" w:rsidP="004876E8">
            <w:pPr>
              <w:pStyle w:val="TableParagraph"/>
              <w:spacing w:before="60"/>
              <w:ind w:left="113" w:right="113"/>
              <w:rPr>
                <w:color w:val="57585B"/>
                <w:spacing w:val="-3"/>
                <w:sz w:val="18"/>
                <w:lang w:bidi="es-ES"/>
              </w:rPr>
            </w:pPr>
          </w:p>
          <w:p w14:paraId="35C84BAA" w14:textId="77777777" w:rsidR="00E35672" w:rsidRDefault="003125F6" w:rsidP="004876E8">
            <w:pPr>
              <w:pStyle w:val="TableParagraph"/>
              <w:spacing w:before="60"/>
              <w:ind w:left="113" w:right="113"/>
              <w:rPr>
                <w:sz w:val="18"/>
              </w:rPr>
            </w:pPr>
            <w:r>
              <w:rPr>
                <w:color w:val="57585B"/>
                <w:spacing w:val="-3"/>
                <w:sz w:val="18"/>
                <w:lang w:bidi="es-ES"/>
              </w:rPr>
              <w:t xml:space="preserve">El </w:t>
            </w:r>
            <w:r>
              <w:rPr>
                <w:b/>
                <w:color w:val="57585B"/>
                <w:spacing w:val="-5"/>
                <w:sz w:val="18"/>
                <w:lang w:bidi="es-ES"/>
              </w:rPr>
              <w:t xml:space="preserve">examen sectorial conjunto de </w:t>
            </w:r>
            <w:proofErr w:type="spellStart"/>
            <w:r>
              <w:rPr>
                <w:b/>
                <w:color w:val="57585B"/>
                <w:spacing w:val="-5"/>
                <w:sz w:val="18"/>
                <w:lang w:bidi="es-ES"/>
              </w:rPr>
              <w:t>Rwanda</w:t>
            </w:r>
            <w:proofErr w:type="spellEnd"/>
            <w:r>
              <w:rPr>
                <w:b/>
                <w:color w:val="57585B"/>
                <w:spacing w:val="-5"/>
                <w:sz w:val="18"/>
                <w:lang w:bidi="es-ES"/>
              </w:rPr>
              <w:t xml:space="preserve"> </w:t>
            </w:r>
            <w:r>
              <w:rPr>
                <w:color w:val="57585B"/>
                <w:spacing w:val="-3"/>
                <w:sz w:val="18"/>
                <w:lang w:bidi="es-ES"/>
              </w:rPr>
              <w:t>se lleva a cabo dos veces al año, con un examen retrospectivo y otro prospectivo.</w:t>
            </w:r>
          </w:p>
        </w:tc>
      </w:tr>
      <w:tr w:rsidR="00E35672" w14:paraId="774BE6AD" w14:textId="77777777" w:rsidTr="008458FD">
        <w:trPr>
          <w:trHeight w:val="3703"/>
        </w:trPr>
        <w:tc>
          <w:tcPr>
            <w:tcW w:w="2118" w:type="dxa"/>
            <w:tcBorders>
              <w:left w:val="nil"/>
              <w:right w:val="nil"/>
            </w:tcBorders>
            <w:shd w:val="clear" w:color="auto" w:fill="F1F2F2"/>
            <w:vAlign w:val="center"/>
          </w:tcPr>
          <w:p w14:paraId="01522394" w14:textId="77777777" w:rsidR="00E35672" w:rsidRDefault="003125F6" w:rsidP="00585648">
            <w:pPr>
              <w:pStyle w:val="TableParagraph"/>
              <w:spacing w:before="168"/>
              <w:ind w:left="293" w:right="293"/>
              <w:jc w:val="center"/>
              <w:rPr>
                <w:b/>
                <w:sz w:val="18"/>
              </w:rPr>
            </w:pPr>
            <w:r>
              <w:rPr>
                <w:b/>
                <w:color w:val="913592"/>
                <w:sz w:val="18"/>
                <w:lang w:bidi="es-ES"/>
              </w:rPr>
              <w:t>Enfoque del seguimiento</w:t>
            </w:r>
          </w:p>
        </w:tc>
        <w:tc>
          <w:tcPr>
            <w:tcW w:w="5387" w:type="dxa"/>
            <w:tcBorders>
              <w:left w:val="nil"/>
            </w:tcBorders>
          </w:tcPr>
          <w:p w14:paraId="472B8DC0" w14:textId="77777777" w:rsidR="00E35672" w:rsidRDefault="003125F6" w:rsidP="007A24B1">
            <w:pPr>
              <w:pStyle w:val="TableParagraph"/>
              <w:spacing w:before="127"/>
              <w:ind w:left="113" w:right="484"/>
              <w:rPr>
                <w:sz w:val="18"/>
              </w:rPr>
            </w:pPr>
            <w:r>
              <w:rPr>
                <w:color w:val="57585B"/>
                <w:spacing w:val="-3"/>
                <w:sz w:val="18"/>
                <w:lang w:bidi="es-ES"/>
              </w:rPr>
              <w:t>El año examinado (retrospectivo) y prospectivo (año posterior).</w:t>
            </w:r>
          </w:p>
        </w:tc>
        <w:tc>
          <w:tcPr>
            <w:tcW w:w="6255" w:type="dxa"/>
            <w:tcBorders>
              <w:right w:val="nil"/>
            </w:tcBorders>
          </w:tcPr>
          <w:p w14:paraId="6CE9E64D" w14:textId="77777777" w:rsidR="00E35672" w:rsidRDefault="003125F6" w:rsidP="007A24B1">
            <w:pPr>
              <w:pStyle w:val="TableParagraph"/>
              <w:spacing w:before="127"/>
              <w:ind w:left="107" w:right="679"/>
              <w:rPr>
                <w:sz w:val="18"/>
              </w:rPr>
            </w:pPr>
            <w:r>
              <w:rPr>
                <w:color w:val="57585B"/>
                <w:spacing w:val="-4"/>
                <w:sz w:val="18"/>
                <w:lang w:bidi="es-ES"/>
              </w:rPr>
              <w:t>Asegurarse de que la pregunta orientativa clave para el examen sea tanto prospectiva como retrospectiva.</w:t>
            </w:r>
          </w:p>
          <w:p w14:paraId="6434FE53" w14:textId="77777777" w:rsidR="00E35672" w:rsidRDefault="003125F6" w:rsidP="007A24B1">
            <w:pPr>
              <w:pStyle w:val="TableParagraph"/>
              <w:spacing w:before="113"/>
              <w:ind w:left="107" w:right="122"/>
              <w:rPr>
                <w:sz w:val="18"/>
              </w:rPr>
            </w:pPr>
            <w:r>
              <w:rPr>
                <w:b/>
                <w:color w:val="57585B"/>
                <w:sz w:val="18"/>
                <w:lang w:bidi="es-ES"/>
              </w:rPr>
              <w:t xml:space="preserve">En 2017, el examen sectorial conjunto de Liberia </w:t>
            </w:r>
            <w:r>
              <w:rPr>
                <w:color w:val="57585B"/>
                <w:spacing w:val="-4"/>
                <w:sz w:val="18"/>
                <w:lang w:bidi="es-ES"/>
              </w:rPr>
              <w:t>fue tanto retrospectivo como prospectivo. El examen retrospectivo, en el que se evaluó el progreso relativo al año examinado, se centró en lo siguiente:</w:t>
            </w:r>
          </w:p>
          <w:p w14:paraId="600D94C9" w14:textId="77777777" w:rsidR="00E35672" w:rsidRDefault="003125F6" w:rsidP="007A24B1">
            <w:pPr>
              <w:pStyle w:val="TableParagraph"/>
              <w:numPr>
                <w:ilvl w:val="0"/>
                <w:numId w:val="8"/>
              </w:numPr>
              <w:tabs>
                <w:tab w:val="left" w:pos="674"/>
                <w:tab w:val="left" w:pos="675"/>
              </w:tabs>
              <w:spacing w:before="113"/>
              <w:ind w:right="284"/>
              <w:rPr>
                <w:sz w:val="18"/>
              </w:rPr>
            </w:pPr>
            <w:r>
              <w:rPr>
                <w:color w:val="57585B"/>
                <w:spacing w:val="-4"/>
                <w:sz w:val="18"/>
                <w:lang w:bidi="es-ES"/>
              </w:rPr>
              <w:t>el progreso de la ejecución con relación a las actividades y metas previstas en el plan del sector educativo y su plan de acción;</w:t>
            </w:r>
          </w:p>
          <w:p w14:paraId="0411CCAC" w14:textId="77777777" w:rsidR="00E35672" w:rsidRDefault="003125F6" w:rsidP="007A24B1">
            <w:pPr>
              <w:pStyle w:val="TableParagraph"/>
              <w:numPr>
                <w:ilvl w:val="0"/>
                <w:numId w:val="8"/>
              </w:numPr>
              <w:tabs>
                <w:tab w:val="left" w:pos="674"/>
                <w:tab w:val="left" w:pos="675"/>
              </w:tabs>
              <w:spacing w:before="114"/>
              <w:rPr>
                <w:sz w:val="18"/>
              </w:rPr>
            </w:pPr>
            <w:r>
              <w:rPr>
                <w:color w:val="57585B"/>
                <w:spacing w:val="-4"/>
                <w:sz w:val="18"/>
                <w:lang w:bidi="es-ES"/>
              </w:rPr>
              <w:t>la aplicación de las recomendaciones del examen sectorial conjunto de años anteriores;</w:t>
            </w:r>
          </w:p>
          <w:p w14:paraId="39E59A4F" w14:textId="77777777" w:rsidR="00E35672" w:rsidRDefault="003125F6" w:rsidP="007A24B1">
            <w:pPr>
              <w:pStyle w:val="TableParagraph"/>
              <w:numPr>
                <w:ilvl w:val="0"/>
                <w:numId w:val="8"/>
              </w:numPr>
              <w:tabs>
                <w:tab w:val="left" w:pos="674"/>
                <w:tab w:val="left" w:pos="675"/>
              </w:tabs>
              <w:spacing w:before="146"/>
              <w:ind w:right="355"/>
              <w:rPr>
                <w:sz w:val="18"/>
              </w:rPr>
            </w:pPr>
            <w:r>
              <w:rPr>
                <w:color w:val="57585B"/>
                <w:spacing w:val="-5"/>
                <w:sz w:val="18"/>
                <w:lang w:bidi="es-ES"/>
              </w:rPr>
              <w:t>examinó el progreso de los indicadores sectoriales clave, así como de las reformas fundamentales durante los años anteriores para facilitar el debate en torno a la relevancia y las recomendaciones; y</w:t>
            </w:r>
          </w:p>
          <w:p w14:paraId="385D888A" w14:textId="77777777" w:rsidR="00E35672" w:rsidRDefault="003125F6" w:rsidP="007A24B1">
            <w:pPr>
              <w:pStyle w:val="TableParagraph"/>
              <w:numPr>
                <w:ilvl w:val="0"/>
                <w:numId w:val="8"/>
              </w:numPr>
              <w:tabs>
                <w:tab w:val="left" w:pos="674"/>
                <w:tab w:val="left" w:pos="675"/>
              </w:tabs>
              <w:spacing w:before="113"/>
              <w:rPr>
                <w:sz w:val="18"/>
              </w:rPr>
            </w:pPr>
            <w:r>
              <w:rPr>
                <w:color w:val="57585B"/>
                <w:spacing w:val="-5"/>
                <w:sz w:val="18"/>
                <w:lang w:bidi="es-ES"/>
              </w:rPr>
              <w:t>reconocer los condados con buenos resultados en materia de aprendizaje, acceso, equidad y calidad.</w:t>
            </w:r>
          </w:p>
        </w:tc>
      </w:tr>
    </w:tbl>
    <w:p w14:paraId="35DD852B" w14:textId="77777777" w:rsidR="00E35672" w:rsidRDefault="00E35672" w:rsidP="007A24B1">
      <w:pPr>
        <w:rPr>
          <w:sz w:val="18"/>
        </w:rPr>
        <w:sectPr w:rsidR="00E35672">
          <w:pgSz w:w="15840" w:h="12240" w:orient="landscape"/>
          <w:pgMar w:top="840" w:right="940" w:bottom="280" w:left="860" w:header="574" w:footer="0" w:gutter="0"/>
          <w:cols w:space="720"/>
        </w:sectPr>
      </w:pPr>
    </w:p>
    <w:p w14:paraId="0E4A8217" w14:textId="77777777" w:rsidR="00E35672" w:rsidRDefault="00960D53" w:rsidP="007A24B1">
      <w:pPr>
        <w:pStyle w:val="Textoindependiente"/>
        <w:ind w:left="105"/>
        <w:rPr>
          <w:sz w:val="2"/>
        </w:rPr>
      </w:pPr>
      <w:r>
        <w:rPr>
          <w:sz w:val="2"/>
          <w:lang w:bidi="es-ES"/>
        </w:rPr>
      </w:r>
      <w:r>
        <w:rPr>
          <w:sz w:val="2"/>
          <w:lang w:bidi="es-ES"/>
        </w:rPr>
        <w:pict w14:anchorId="7E45ABB9">
          <v:group id="_x0000_s1026" alt="" style="width:688pt;height:.35pt;mso-position-horizontal-relative:char;mso-position-vertical-relative:line" coordsize="13760,7">
            <v:line id="_x0000_s1027" alt="" style="position:absolute" from="0,3" to="2263,3" strokecolor="#939598" strokeweight=".35pt"/>
            <v:line id="_x0000_s1028" alt="" style="position:absolute" from="2263,3" to="6644,3" strokecolor="#939598" strokeweight=".35pt"/>
            <v:line id="_x0000_s1029" alt="" style="position:absolute" from="6644,3" to="13759,3" strokecolor="#939598" strokeweight=".35pt"/>
            <w10:anchorlock/>
          </v:group>
        </w:pict>
      </w:r>
    </w:p>
    <w:p w14:paraId="5B6D5A0F" w14:textId="77777777" w:rsidR="00E35672" w:rsidRDefault="00E35672" w:rsidP="007A24B1">
      <w:pPr>
        <w:pStyle w:val="Textoindependiente"/>
        <w:rPr>
          <w:b/>
          <w:sz w:val="6"/>
        </w:rPr>
      </w:pPr>
    </w:p>
    <w:tbl>
      <w:tblPr>
        <w:tblStyle w:val="TableNormal1"/>
        <w:tblW w:w="0" w:type="auto"/>
        <w:tblInd w:w="11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55"/>
        <w:gridCol w:w="5387"/>
        <w:gridCol w:w="6218"/>
      </w:tblGrid>
      <w:tr w:rsidR="00E35672" w14:paraId="24ED772F" w14:textId="77777777" w:rsidTr="008876F9">
        <w:trPr>
          <w:trHeight w:val="287"/>
        </w:trPr>
        <w:tc>
          <w:tcPr>
            <w:tcW w:w="2155" w:type="dxa"/>
            <w:tcBorders>
              <w:top w:val="nil"/>
              <w:left w:val="nil"/>
              <w:right w:val="nil"/>
            </w:tcBorders>
          </w:tcPr>
          <w:p w14:paraId="0D24EA03" w14:textId="77777777" w:rsidR="00E35672" w:rsidRDefault="00E35672" w:rsidP="007A24B1">
            <w:pPr>
              <w:pStyle w:val="TableParagraph"/>
              <w:rPr>
                <w:rFonts w:ascii="Times New Roman"/>
                <w:sz w:val="18"/>
              </w:rPr>
            </w:pPr>
          </w:p>
        </w:tc>
        <w:tc>
          <w:tcPr>
            <w:tcW w:w="5387" w:type="dxa"/>
            <w:tcBorders>
              <w:top w:val="nil"/>
              <w:left w:val="nil"/>
              <w:right w:val="nil"/>
            </w:tcBorders>
          </w:tcPr>
          <w:p w14:paraId="5C323288" w14:textId="77777777" w:rsidR="00E35672" w:rsidRPr="008876F9" w:rsidRDefault="003125F6" w:rsidP="007A24B1">
            <w:pPr>
              <w:pStyle w:val="TableParagraph"/>
              <w:jc w:val="center"/>
              <w:rPr>
                <w:b/>
                <w:sz w:val="18"/>
                <w:szCs w:val="18"/>
              </w:rPr>
            </w:pPr>
            <w:r w:rsidRPr="008876F9">
              <w:rPr>
                <w:b/>
                <w:color w:val="913592"/>
                <w:sz w:val="18"/>
                <w:szCs w:val="18"/>
                <w:lang w:bidi="es-ES"/>
              </w:rPr>
              <w:t>Características del examen sectorial conjunto anual</w:t>
            </w:r>
          </w:p>
        </w:tc>
        <w:tc>
          <w:tcPr>
            <w:tcW w:w="6218" w:type="dxa"/>
            <w:tcBorders>
              <w:top w:val="nil"/>
              <w:left w:val="nil"/>
              <w:right w:val="nil"/>
            </w:tcBorders>
          </w:tcPr>
          <w:p w14:paraId="0CC96327" w14:textId="77777777" w:rsidR="00E35672" w:rsidRPr="008876F9" w:rsidRDefault="003125F6" w:rsidP="007A24B1">
            <w:pPr>
              <w:pStyle w:val="TableParagraph"/>
              <w:jc w:val="center"/>
              <w:rPr>
                <w:b/>
                <w:sz w:val="18"/>
                <w:szCs w:val="18"/>
              </w:rPr>
            </w:pPr>
            <w:r w:rsidRPr="008876F9">
              <w:rPr>
                <w:b/>
                <w:color w:val="913592"/>
                <w:sz w:val="18"/>
                <w:szCs w:val="18"/>
                <w:lang w:bidi="es-ES"/>
              </w:rPr>
              <w:t>Consideraciones específicas para el subsector de la EPI</w:t>
            </w:r>
          </w:p>
        </w:tc>
      </w:tr>
      <w:tr w:rsidR="00E35672" w14:paraId="656C1C53" w14:textId="77777777" w:rsidTr="005A3113">
        <w:trPr>
          <w:trHeight w:val="5921"/>
        </w:trPr>
        <w:tc>
          <w:tcPr>
            <w:tcW w:w="2155" w:type="dxa"/>
            <w:tcBorders>
              <w:left w:val="nil"/>
              <w:right w:val="nil"/>
            </w:tcBorders>
            <w:shd w:val="clear" w:color="auto" w:fill="F1F2F2"/>
          </w:tcPr>
          <w:p w14:paraId="4501F966" w14:textId="77777777" w:rsidR="00E35672" w:rsidRDefault="00E35672" w:rsidP="007A24B1">
            <w:pPr>
              <w:pStyle w:val="TableParagraph"/>
              <w:rPr>
                <w:rFonts w:ascii="Times New Roman"/>
                <w:sz w:val="18"/>
              </w:rPr>
            </w:pPr>
          </w:p>
        </w:tc>
        <w:tc>
          <w:tcPr>
            <w:tcW w:w="5387" w:type="dxa"/>
            <w:tcBorders>
              <w:left w:val="nil"/>
            </w:tcBorders>
          </w:tcPr>
          <w:p w14:paraId="77C9A826" w14:textId="77777777" w:rsidR="00E35672" w:rsidRDefault="00E35672" w:rsidP="007A24B1">
            <w:pPr>
              <w:pStyle w:val="TableParagraph"/>
              <w:rPr>
                <w:rFonts w:ascii="Times New Roman"/>
                <w:sz w:val="18"/>
              </w:rPr>
            </w:pPr>
          </w:p>
        </w:tc>
        <w:tc>
          <w:tcPr>
            <w:tcW w:w="6218" w:type="dxa"/>
            <w:tcBorders>
              <w:right w:val="nil"/>
            </w:tcBorders>
          </w:tcPr>
          <w:p w14:paraId="0E44C1CE" w14:textId="77777777" w:rsidR="00E35672" w:rsidRDefault="003125F6" w:rsidP="007A24B1">
            <w:pPr>
              <w:pStyle w:val="TableParagraph"/>
              <w:spacing w:before="127"/>
              <w:ind w:left="111"/>
              <w:rPr>
                <w:sz w:val="18"/>
              </w:rPr>
            </w:pPr>
            <w:r>
              <w:rPr>
                <w:color w:val="57585B"/>
                <w:sz w:val="18"/>
                <w:lang w:bidi="es-ES"/>
              </w:rPr>
              <w:t>Por su parte, el examen prospectivo examinó los siguientes puntos:</w:t>
            </w:r>
          </w:p>
          <w:p w14:paraId="7ECBA305" w14:textId="77777777" w:rsidR="00E35672" w:rsidRDefault="003125F6" w:rsidP="007A24B1">
            <w:pPr>
              <w:pStyle w:val="TableParagraph"/>
              <w:numPr>
                <w:ilvl w:val="0"/>
                <w:numId w:val="7"/>
              </w:numPr>
              <w:tabs>
                <w:tab w:val="left" w:pos="678"/>
                <w:tab w:val="left" w:pos="679"/>
              </w:tabs>
              <w:spacing w:before="146"/>
              <w:rPr>
                <w:sz w:val="18"/>
              </w:rPr>
            </w:pPr>
            <w:r>
              <w:rPr>
                <w:color w:val="57585B"/>
                <w:spacing w:val="-4"/>
                <w:sz w:val="18"/>
                <w:lang w:bidi="es-ES"/>
              </w:rPr>
              <w:t>los planes operacionales para el próximo ejercicio económico del período 2018-2019;</w:t>
            </w:r>
          </w:p>
          <w:p w14:paraId="6539F6F1" w14:textId="77777777" w:rsidR="00E35672" w:rsidRDefault="003125F6" w:rsidP="007A24B1">
            <w:pPr>
              <w:pStyle w:val="TableParagraph"/>
              <w:numPr>
                <w:ilvl w:val="0"/>
                <w:numId w:val="7"/>
              </w:numPr>
              <w:tabs>
                <w:tab w:val="left" w:pos="678"/>
                <w:tab w:val="left" w:pos="679"/>
              </w:tabs>
              <w:spacing w:before="147"/>
              <w:rPr>
                <w:sz w:val="18"/>
              </w:rPr>
            </w:pPr>
            <w:r>
              <w:rPr>
                <w:color w:val="57585B"/>
                <w:spacing w:val="-4"/>
                <w:sz w:val="18"/>
                <w:lang w:bidi="es-ES"/>
              </w:rPr>
              <w:t>evaluó los acuerdos, la disponibilidad, el gobierno y los asociados en materia de financiación;</w:t>
            </w:r>
          </w:p>
          <w:p w14:paraId="7BC36CC4" w14:textId="77777777" w:rsidR="00E35672" w:rsidRDefault="003125F6" w:rsidP="007A24B1">
            <w:pPr>
              <w:pStyle w:val="TableParagraph"/>
              <w:spacing w:before="33"/>
              <w:ind w:left="678"/>
              <w:rPr>
                <w:sz w:val="18"/>
              </w:rPr>
            </w:pPr>
            <w:r>
              <w:rPr>
                <w:color w:val="57585B"/>
                <w:sz w:val="18"/>
                <w:lang w:bidi="es-ES"/>
              </w:rPr>
              <w:t>déficits de financiación y compromiso para los componentes clave del plan;</w:t>
            </w:r>
          </w:p>
          <w:p w14:paraId="133086A7" w14:textId="77777777" w:rsidR="00E35672" w:rsidRDefault="003125F6" w:rsidP="007A24B1">
            <w:pPr>
              <w:pStyle w:val="TableParagraph"/>
              <w:numPr>
                <w:ilvl w:val="0"/>
                <w:numId w:val="7"/>
              </w:numPr>
              <w:tabs>
                <w:tab w:val="left" w:pos="678"/>
                <w:tab w:val="left" w:pos="679"/>
              </w:tabs>
              <w:spacing w:before="146"/>
              <w:rPr>
                <w:sz w:val="18"/>
              </w:rPr>
            </w:pPr>
            <w:r>
              <w:rPr>
                <w:color w:val="57585B"/>
                <w:spacing w:val="-5"/>
                <w:sz w:val="18"/>
                <w:lang w:bidi="es-ES"/>
              </w:rPr>
              <w:t>examinó las modalidades de ejecución, coordinación y armonización;</w:t>
            </w:r>
          </w:p>
          <w:p w14:paraId="47AA7A6D" w14:textId="77777777" w:rsidR="00E35672" w:rsidRDefault="003125F6" w:rsidP="007A24B1">
            <w:pPr>
              <w:pStyle w:val="TableParagraph"/>
              <w:numPr>
                <w:ilvl w:val="0"/>
                <w:numId w:val="7"/>
              </w:numPr>
              <w:tabs>
                <w:tab w:val="left" w:pos="678"/>
                <w:tab w:val="left" w:pos="679"/>
              </w:tabs>
              <w:spacing w:before="147"/>
              <w:rPr>
                <w:sz w:val="18"/>
              </w:rPr>
            </w:pPr>
            <w:r>
              <w:rPr>
                <w:color w:val="57585B"/>
                <w:spacing w:val="-4"/>
                <w:sz w:val="18"/>
                <w:lang w:bidi="es-ES"/>
              </w:rPr>
              <w:t>identificó las actividades para el período 2018-2019, incluidas aquellas que no fueron aplicadas en</w:t>
            </w:r>
          </w:p>
          <w:p w14:paraId="7227858E" w14:textId="77777777" w:rsidR="00E35672" w:rsidRDefault="003125F6" w:rsidP="007A24B1">
            <w:pPr>
              <w:pStyle w:val="TableParagraph"/>
              <w:spacing w:before="33"/>
              <w:ind w:left="678"/>
              <w:rPr>
                <w:sz w:val="18"/>
              </w:rPr>
            </w:pPr>
            <w:r>
              <w:rPr>
                <w:color w:val="57585B"/>
                <w:sz w:val="18"/>
                <w:lang w:bidi="es-ES"/>
              </w:rPr>
              <w:t>el año anterior, así como las planificadas para el año siguiente.</w:t>
            </w:r>
          </w:p>
          <w:p w14:paraId="713B903E" w14:textId="77777777" w:rsidR="00E35672" w:rsidRDefault="003125F6" w:rsidP="007A24B1">
            <w:pPr>
              <w:pStyle w:val="TableParagraph"/>
              <w:spacing w:before="146"/>
              <w:ind w:left="111"/>
              <w:rPr>
                <w:sz w:val="18"/>
              </w:rPr>
            </w:pPr>
            <w:r>
              <w:rPr>
                <w:b/>
                <w:color w:val="57585B"/>
                <w:sz w:val="18"/>
                <w:lang w:bidi="es-ES"/>
              </w:rPr>
              <w:t xml:space="preserve">En </w:t>
            </w:r>
            <w:proofErr w:type="spellStart"/>
            <w:r>
              <w:rPr>
                <w:b/>
                <w:color w:val="57585B"/>
                <w:sz w:val="18"/>
                <w:lang w:bidi="es-ES"/>
              </w:rPr>
              <w:t>Rwanda</w:t>
            </w:r>
            <w:proofErr w:type="spellEnd"/>
            <w:r>
              <w:rPr>
                <w:b/>
                <w:color w:val="57585B"/>
                <w:sz w:val="18"/>
                <w:lang w:bidi="es-ES"/>
              </w:rPr>
              <w:t xml:space="preserve"> en 2019, </w:t>
            </w:r>
            <w:r>
              <w:rPr>
                <w:color w:val="57585B"/>
                <w:sz w:val="18"/>
                <w:lang w:bidi="es-ES"/>
              </w:rPr>
              <w:t>el examen sectorial conjunto fue únicamente de carácter prospectivo y el seguimiento se centró en:</w:t>
            </w:r>
          </w:p>
          <w:p w14:paraId="15199DE0" w14:textId="77777777" w:rsidR="00E35672" w:rsidRDefault="003125F6" w:rsidP="007A24B1">
            <w:pPr>
              <w:pStyle w:val="TableParagraph"/>
              <w:numPr>
                <w:ilvl w:val="0"/>
                <w:numId w:val="6"/>
              </w:numPr>
              <w:tabs>
                <w:tab w:val="left" w:pos="678"/>
                <w:tab w:val="left" w:pos="679"/>
              </w:tabs>
              <w:spacing w:before="146"/>
              <w:rPr>
                <w:sz w:val="18"/>
              </w:rPr>
            </w:pPr>
            <w:r>
              <w:rPr>
                <w:color w:val="57585B"/>
                <w:spacing w:val="-12"/>
                <w:sz w:val="18"/>
                <w:lang w:bidi="es-ES"/>
              </w:rPr>
              <w:t xml:space="preserve">presentar y comentar las esferas priorizadas en el proceso de planificación y </w:t>
            </w:r>
            <w:proofErr w:type="spellStart"/>
            <w:r>
              <w:rPr>
                <w:color w:val="57585B"/>
                <w:spacing w:val="-12"/>
                <w:sz w:val="18"/>
                <w:lang w:bidi="es-ES"/>
              </w:rPr>
              <w:t>presupuestación</w:t>
            </w:r>
            <w:proofErr w:type="spellEnd"/>
            <w:r>
              <w:rPr>
                <w:color w:val="57585B"/>
                <w:spacing w:val="-12"/>
                <w:sz w:val="18"/>
                <w:lang w:bidi="es-ES"/>
              </w:rPr>
              <w:t>;</w:t>
            </w:r>
          </w:p>
          <w:p w14:paraId="12CA5DE3" w14:textId="77777777" w:rsidR="00E35672" w:rsidRDefault="003125F6" w:rsidP="007A24B1">
            <w:pPr>
              <w:pStyle w:val="TableParagraph"/>
              <w:numPr>
                <w:ilvl w:val="0"/>
                <w:numId w:val="6"/>
              </w:numPr>
              <w:tabs>
                <w:tab w:val="left" w:pos="678"/>
                <w:tab w:val="left" w:pos="679"/>
              </w:tabs>
              <w:spacing w:before="147"/>
              <w:rPr>
                <w:sz w:val="18"/>
              </w:rPr>
            </w:pPr>
            <w:r>
              <w:rPr>
                <w:color w:val="57585B"/>
                <w:spacing w:val="-12"/>
                <w:sz w:val="18"/>
                <w:lang w:bidi="es-ES"/>
              </w:rPr>
              <w:t>validar y debatir sobre las metas sectoriales para el período 2019-2020 y las medidas normativas relacionadas;</w:t>
            </w:r>
          </w:p>
          <w:p w14:paraId="78809A30" w14:textId="77777777" w:rsidR="00E35672" w:rsidRDefault="003125F6" w:rsidP="007A24B1">
            <w:pPr>
              <w:pStyle w:val="TableParagraph"/>
              <w:numPr>
                <w:ilvl w:val="0"/>
                <w:numId w:val="6"/>
              </w:numPr>
              <w:tabs>
                <w:tab w:val="left" w:pos="678"/>
                <w:tab w:val="left" w:pos="679"/>
              </w:tabs>
              <w:spacing w:before="146"/>
              <w:rPr>
                <w:sz w:val="18"/>
              </w:rPr>
            </w:pPr>
            <w:r>
              <w:rPr>
                <w:color w:val="57585B"/>
                <w:spacing w:val="-12"/>
                <w:sz w:val="18"/>
                <w:lang w:bidi="es-ES"/>
              </w:rPr>
              <w:t>evaluar el progreso hacia la aplicación de las medidas normativas del período 2018-2019; y</w:t>
            </w:r>
          </w:p>
          <w:p w14:paraId="78A823A3" w14:textId="77777777" w:rsidR="00E35672" w:rsidRDefault="003125F6" w:rsidP="007A24B1">
            <w:pPr>
              <w:pStyle w:val="TableParagraph"/>
              <w:numPr>
                <w:ilvl w:val="0"/>
                <w:numId w:val="6"/>
              </w:numPr>
              <w:tabs>
                <w:tab w:val="left" w:pos="678"/>
                <w:tab w:val="left" w:pos="679"/>
              </w:tabs>
              <w:spacing w:before="147"/>
              <w:rPr>
                <w:sz w:val="18"/>
              </w:rPr>
            </w:pPr>
            <w:r>
              <w:rPr>
                <w:color w:val="57585B"/>
                <w:spacing w:val="-12"/>
                <w:sz w:val="18"/>
                <w:lang w:bidi="es-ES"/>
              </w:rPr>
              <w:t>seleccionar los estudios relacionados con las políticas previstas para el ejercicio económico del período 2019-2020.</w:t>
            </w:r>
          </w:p>
        </w:tc>
      </w:tr>
      <w:tr w:rsidR="00173805" w14:paraId="11F40E7D" w14:textId="77777777" w:rsidTr="00225730">
        <w:trPr>
          <w:trHeight w:val="3682"/>
        </w:trPr>
        <w:tc>
          <w:tcPr>
            <w:tcW w:w="2155" w:type="dxa"/>
            <w:tcBorders>
              <w:left w:val="nil"/>
              <w:right w:val="nil"/>
            </w:tcBorders>
            <w:shd w:val="clear" w:color="auto" w:fill="F1F2F2"/>
            <w:vAlign w:val="center"/>
          </w:tcPr>
          <w:p w14:paraId="14C7ED27" w14:textId="06E6CA4D" w:rsidR="00173805" w:rsidRDefault="00173805" w:rsidP="00772E55">
            <w:pPr>
              <w:pStyle w:val="TableParagraph"/>
              <w:ind w:right="6"/>
              <w:jc w:val="center"/>
              <w:rPr>
                <w:rFonts w:ascii="Times New Roman"/>
                <w:sz w:val="18"/>
              </w:rPr>
            </w:pPr>
            <w:r>
              <w:rPr>
                <w:b/>
                <w:color w:val="913592"/>
                <w:sz w:val="18"/>
                <w:lang w:bidi="es-ES"/>
              </w:rPr>
              <w:t>Alcance</w:t>
            </w:r>
          </w:p>
        </w:tc>
        <w:tc>
          <w:tcPr>
            <w:tcW w:w="5387" w:type="dxa"/>
            <w:tcBorders>
              <w:left w:val="nil"/>
            </w:tcBorders>
          </w:tcPr>
          <w:p w14:paraId="54E1A28B" w14:textId="7767A644" w:rsidR="00173805" w:rsidRDefault="00173805" w:rsidP="00772E55">
            <w:pPr>
              <w:pStyle w:val="TableParagraph"/>
              <w:spacing w:before="127"/>
              <w:ind w:left="113" w:right="6"/>
              <w:rPr>
                <w:rFonts w:ascii="Times New Roman"/>
                <w:sz w:val="18"/>
              </w:rPr>
            </w:pPr>
            <w:r>
              <w:rPr>
                <w:color w:val="57585B"/>
                <w:spacing w:val="-4"/>
                <w:sz w:val="18"/>
                <w:lang w:bidi="es-ES"/>
              </w:rPr>
              <w:t>Ejecución del plan operacional anual o multianual, debates sobre los factores propicios y obstáculos, flujos (nacionales y externos) y gestión financieros, posibles medidas correctivas y seguimiento de las recomendaciones del examen sectorial conjunto previo. Examen de la calidad de la base empírica, las necesidades de fortalecimiento de la capacidad y las posibilidades para realizar un seguimiento innovador.</w:t>
            </w:r>
          </w:p>
        </w:tc>
        <w:tc>
          <w:tcPr>
            <w:tcW w:w="6218" w:type="dxa"/>
            <w:tcBorders>
              <w:right w:val="nil"/>
            </w:tcBorders>
          </w:tcPr>
          <w:p w14:paraId="197B19AA" w14:textId="77777777" w:rsidR="00173805" w:rsidRDefault="00173805" w:rsidP="00772E55">
            <w:pPr>
              <w:pStyle w:val="TableParagraph"/>
              <w:spacing w:before="127"/>
              <w:ind w:left="111" w:right="6"/>
              <w:rPr>
                <w:sz w:val="18"/>
              </w:rPr>
            </w:pPr>
            <w:r>
              <w:rPr>
                <w:color w:val="57585B"/>
                <w:sz w:val="18"/>
                <w:lang w:bidi="es-ES"/>
              </w:rPr>
              <w:t>Asegurarse de que el alcance del examen cubra los siguientes aspectos:</w:t>
            </w:r>
          </w:p>
          <w:p w14:paraId="22945A23" w14:textId="77777777" w:rsidR="00173805" w:rsidRDefault="00173805" w:rsidP="00772E55">
            <w:pPr>
              <w:pStyle w:val="TableParagraph"/>
              <w:numPr>
                <w:ilvl w:val="0"/>
                <w:numId w:val="5"/>
              </w:numPr>
              <w:tabs>
                <w:tab w:val="left" w:pos="678"/>
                <w:tab w:val="left" w:pos="679"/>
              </w:tabs>
              <w:spacing w:before="146"/>
              <w:ind w:right="6"/>
              <w:rPr>
                <w:sz w:val="18"/>
              </w:rPr>
            </w:pPr>
            <w:r>
              <w:rPr>
                <w:color w:val="57585B"/>
                <w:spacing w:val="-4"/>
                <w:sz w:val="18"/>
                <w:lang w:bidi="es-ES"/>
              </w:rPr>
              <w:t>los factores propicios y obstáculos del subsector de la EPI, flujos (nacionales y externos) y gestión financieros, posibles medidas correctivas y seguimiento de las recomendaciones del examen sectorial conjunto previo;</w:t>
            </w:r>
          </w:p>
          <w:p w14:paraId="3052C037" w14:textId="77777777" w:rsidR="00173805" w:rsidRDefault="00173805" w:rsidP="00772E55">
            <w:pPr>
              <w:pStyle w:val="TableParagraph"/>
              <w:numPr>
                <w:ilvl w:val="0"/>
                <w:numId w:val="5"/>
              </w:numPr>
              <w:tabs>
                <w:tab w:val="left" w:pos="678"/>
                <w:tab w:val="left" w:pos="679"/>
              </w:tabs>
              <w:spacing w:before="113"/>
              <w:ind w:right="6"/>
              <w:rPr>
                <w:sz w:val="18"/>
              </w:rPr>
            </w:pPr>
            <w:r>
              <w:rPr>
                <w:color w:val="57585B"/>
                <w:spacing w:val="-5"/>
                <w:sz w:val="18"/>
                <w:lang w:bidi="es-ES"/>
              </w:rPr>
              <w:t>examen de la calidad de la base empírica, las necesidades de fortalecimiento de la capacidad y las posibilidades para realizar un seguimiento innovador en el subsector de la EPI.</w:t>
            </w:r>
          </w:p>
          <w:p w14:paraId="43064F5F" w14:textId="77777777" w:rsidR="00173805" w:rsidRDefault="00173805" w:rsidP="00772E55">
            <w:pPr>
              <w:pStyle w:val="TableParagraph"/>
              <w:spacing w:before="114"/>
              <w:ind w:left="111" w:right="6"/>
              <w:rPr>
                <w:sz w:val="18"/>
              </w:rPr>
            </w:pPr>
            <w:proofErr w:type="spellStart"/>
            <w:r>
              <w:rPr>
                <w:b/>
                <w:color w:val="57585B"/>
                <w:spacing w:val="-5"/>
                <w:sz w:val="18"/>
                <w:lang w:bidi="es-ES"/>
              </w:rPr>
              <w:t>Rwanda</w:t>
            </w:r>
            <w:proofErr w:type="spellEnd"/>
            <w:r>
              <w:rPr>
                <w:b/>
                <w:color w:val="57585B"/>
                <w:spacing w:val="-5"/>
                <w:sz w:val="18"/>
                <w:lang w:bidi="es-ES"/>
              </w:rPr>
              <w:t xml:space="preserve"> en el período 2015-2016: </w:t>
            </w:r>
            <w:r>
              <w:rPr>
                <w:color w:val="57585B"/>
                <w:spacing w:val="-3"/>
                <w:sz w:val="18"/>
                <w:lang w:bidi="es-ES"/>
              </w:rPr>
              <w:t>El alcance del examen sectorial conjunto retrospectivo tuvo en cuenta la EPI y el informe se realizó con base empírica. Véase a continuación:</w:t>
            </w:r>
          </w:p>
          <w:p w14:paraId="641FB4F8" w14:textId="77777777" w:rsidR="00173805" w:rsidRDefault="00173805" w:rsidP="00772E55">
            <w:pPr>
              <w:pStyle w:val="TableParagraph"/>
              <w:numPr>
                <w:ilvl w:val="0"/>
                <w:numId w:val="4"/>
              </w:numPr>
              <w:tabs>
                <w:tab w:val="left" w:pos="471"/>
                <w:tab w:val="left" w:pos="472"/>
              </w:tabs>
              <w:spacing w:before="113"/>
              <w:ind w:right="6"/>
              <w:rPr>
                <w:sz w:val="18"/>
              </w:rPr>
            </w:pPr>
            <w:r>
              <w:rPr>
                <w:color w:val="57585B"/>
                <w:spacing w:val="-3"/>
                <w:sz w:val="18"/>
                <w:lang w:bidi="es-ES"/>
              </w:rPr>
              <w:t>El número de escuelas preescolares aumentó un 8,3%, lo que equivale a 216 escuelas más en 2016, pasando de 2.618 escuelas en 2015 a 2.834 en 2016.</w:t>
            </w:r>
          </w:p>
          <w:p w14:paraId="2F6E768C" w14:textId="77777777" w:rsidR="00173805" w:rsidRDefault="00173805" w:rsidP="00772E55">
            <w:pPr>
              <w:pStyle w:val="TableParagraph"/>
              <w:numPr>
                <w:ilvl w:val="0"/>
                <w:numId w:val="4"/>
              </w:numPr>
              <w:tabs>
                <w:tab w:val="left" w:pos="471"/>
                <w:tab w:val="left" w:pos="472"/>
              </w:tabs>
              <w:spacing w:before="113"/>
              <w:ind w:right="6"/>
              <w:rPr>
                <w:sz w:val="18"/>
              </w:rPr>
            </w:pPr>
            <w:r>
              <w:rPr>
                <w:color w:val="57585B"/>
                <w:spacing w:val="-5"/>
                <w:sz w:val="18"/>
                <w:lang w:bidi="es-ES"/>
              </w:rPr>
              <w:t>El número de alumnos también aumentó un 3,5%, lo que equivale a 6.455 alumnos más en 2016, pasando de 183.645 en 2015 a 190.100 en 2016.</w:t>
            </w:r>
          </w:p>
          <w:p w14:paraId="1729A43D" w14:textId="77777777" w:rsidR="00173805" w:rsidRPr="00173805" w:rsidRDefault="00173805" w:rsidP="00772E55">
            <w:pPr>
              <w:ind w:right="6"/>
              <w:rPr>
                <w:lang w:bidi="es-ES"/>
              </w:rPr>
            </w:pPr>
          </w:p>
        </w:tc>
      </w:tr>
    </w:tbl>
    <w:p w14:paraId="3A52E104" w14:textId="77777777" w:rsidR="00E35672" w:rsidRDefault="00E35672" w:rsidP="00772E55">
      <w:pPr>
        <w:ind w:right="6"/>
        <w:rPr>
          <w:sz w:val="18"/>
        </w:rPr>
        <w:sectPr w:rsidR="00E35672">
          <w:pgSz w:w="15840" w:h="12240" w:orient="landscape"/>
          <w:pgMar w:top="840" w:right="940" w:bottom="280" w:left="860" w:header="574" w:footer="0" w:gutter="0"/>
          <w:cols w:space="720"/>
        </w:sectPr>
      </w:pPr>
    </w:p>
    <w:p w14:paraId="188F297A" w14:textId="77777777" w:rsidR="00E35672" w:rsidRDefault="00E35672" w:rsidP="00772E55">
      <w:pPr>
        <w:pStyle w:val="Textoindependiente"/>
        <w:spacing w:before="5"/>
        <w:ind w:right="6"/>
        <w:rPr>
          <w:rFonts w:ascii="Times New Roman"/>
          <w:sz w:val="25"/>
        </w:rPr>
      </w:pPr>
    </w:p>
    <w:p w14:paraId="20D632B6" w14:textId="2F0E6EA4" w:rsidR="00E35672" w:rsidRPr="009F0062" w:rsidRDefault="00E35672" w:rsidP="009F0062">
      <w:pPr>
        <w:pStyle w:val="Textoindependiente"/>
        <w:ind w:left="167" w:right="6"/>
        <w:rPr>
          <w:rFonts w:ascii="Times New Roman"/>
          <w:sz w:val="2"/>
        </w:rPr>
      </w:pPr>
    </w:p>
    <w:tbl>
      <w:tblPr>
        <w:tblStyle w:val="TableNormal1"/>
        <w:tblW w:w="0" w:type="auto"/>
        <w:tblInd w:w="17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5217"/>
        <w:gridCol w:w="6280"/>
      </w:tblGrid>
      <w:tr w:rsidR="0017499E" w14:paraId="0AB1B2A4" w14:textId="77777777" w:rsidTr="00A12295">
        <w:trPr>
          <w:trHeight w:val="435"/>
        </w:trPr>
        <w:tc>
          <w:tcPr>
            <w:tcW w:w="2263" w:type="dxa"/>
            <w:tcBorders>
              <w:left w:val="nil"/>
              <w:right w:val="nil"/>
            </w:tcBorders>
            <w:shd w:val="clear" w:color="auto" w:fill="auto"/>
            <w:vAlign w:val="center"/>
          </w:tcPr>
          <w:p w14:paraId="3128CB2E" w14:textId="77777777" w:rsidR="0017499E" w:rsidRDefault="0017499E" w:rsidP="0017499E">
            <w:pPr>
              <w:pStyle w:val="TableParagraph"/>
              <w:ind w:right="6"/>
              <w:rPr>
                <w:rFonts w:ascii="Times New Roman"/>
                <w:sz w:val="18"/>
              </w:rPr>
            </w:pPr>
          </w:p>
        </w:tc>
        <w:tc>
          <w:tcPr>
            <w:tcW w:w="5217" w:type="dxa"/>
            <w:tcBorders>
              <w:left w:val="nil"/>
            </w:tcBorders>
            <w:vAlign w:val="center"/>
          </w:tcPr>
          <w:p w14:paraId="050771DD" w14:textId="57EB5D28" w:rsidR="0017499E" w:rsidRDefault="0017499E" w:rsidP="0017499E">
            <w:pPr>
              <w:pStyle w:val="TableParagraph"/>
              <w:jc w:val="center"/>
              <w:rPr>
                <w:rFonts w:ascii="Times New Roman"/>
                <w:sz w:val="18"/>
              </w:rPr>
            </w:pPr>
            <w:r w:rsidRPr="008876F9">
              <w:rPr>
                <w:b/>
                <w:color w:val="913592"/>
                <w:sz w:val="18"/>
                <w:szCs w:val="18"/>
                <w:lang w:bidi="es-ES"/>
              </w:rPr>
              <w:t>Características del examen sectorial conjunto anual</w:t>
            </w:r>
          </w:p>
        </w:tc>
        <w:tc>
          <w:tcPr>
            <w:tcW w:w="6280" w:type="dxa"/>
            <w:tcBorders>
              <w:right w:val="nil"/>
            </w:tcBorders>
            <w:vAlign w:val="center"/>
          </w:tcPr>
          <w:p w14:paraId="09A7F013" w14:textId="4CC016CE" w:rsidR="0017499E" w:rsidRDefault="0017499E" w:rsidP="00A12295">
            <w:pPr>
              <w:pStyle w:val="TableParagraph"/>
              <w:ind w:left="-357"/>
              <w:jc w:val="center"/>
              <w:rPr>
                <w:color w:val="57585B"/>
                <w:spacing w:val="-3"/>
                <w:sz w:val="18"/>
                <w:lang w:bidi="es-ES"/>
              </w:rPr>
            </w:pPr>
            <w:r w:rsidRPr="008876F9">
              <w:rPr>
                <w:b/>
                <w:color w:val="913592"/>
                <w:sz w:val="18"/>
                <w:szCs w:val="18"/>
                <w:lang w:bidi="es-ES"/>
              </w:rPr>
              <w:t>Consideraciones específicas para el subsector de la EPI</w:t>
            </w:r>
          </w:p>
        </w:tc>
      </w:tr>
      <w:tr w:rsidR="0017499E" w14:paraId="6FD76E3F" w14:textId="77777777" w:rsidTr="004A1EF9">
        <w:trPr>
          <w:trHeight w:val="1517"/>
        </w:trPr>
        <w:tc>
          <w:tcPr>
            <w:tcW w:w="2263" w:type="dxa"/>
            <w:tcBorders>
              <w:left w:val="nil"/>
              <w:right w:val="nil"/>
            </w:tcBorders>
            <w:shd w:val="clear" w:color="auto" w:fill="F1F2F2"/>
            <w:vAlign w:val="center"/>
          </w:tcPr>
          <w:p w14:paraId="2BB72299" w14:textId="0BFD0EB0" w:rsidR="0017499E" w:rsidRDefault="0017499E" w:rsidP="0017499E">
            <w:pPr>
              <w:pStyle w:val="TableParagraph"/>
              <w:ind w:right="6"/>
              <w:rPr>
                <w:rFonts w:ascii="Times New Roman"/>
                <w:sz w:val="18"/>
              </w:rPr>
            </w:pPr>
          </w:p>
        </w:tc>
        <w:tc>
          <w:tcPr>
            <w:tcW w:w="5217" w:type="dxa"/>
            <w:tcBorders>
              <w:left w:val="nil"/>
            </w:tcBorders>
          </w:tcPr>
          <w:p w14:paraId="2BB71D9A" w14:textId="77777777" w:rsidR="0017499E" w:rsidRDefault="0017499E" w:rsidP="0017499E">
            <w:pPr>
              <w:pStyle w:val="TableParagraph"/>
              <w:ind w:right="6"/>
              <w:rPr>
                <w:rFonts w:ascii="Times New Roman"/>
                <w:sz w:val="18"/>
              </w:rPr>
            </w:pPr>
          </w:p>
        </w:tc>
        <w:tc>
          <w:tcPr>
            <w:tcW w:w="6280" w:type="dxa"/>
            <w:tcBorders>
              <w:right w:val="nil"/>
            </w:tcBorders>
          </w:tcPr>
          <w:p w14:paraId="2AF76481" w14:textId="5E969DA8" w:rsidR="0017499E" w:rsidRDefault="0017499E" w:rsidP="0017499E">
            <w:pPr>
              <w:pStyle w:val="TableParagraph"/>
              <w:numPr>
                <w:ilvl w:val="0"/>
                <w:numId w:val="21"/>
              </w:numPr>
              <w:spacing w:before="127"/>
              <w:ind w:left="470" w:right="6" w:hanging="357"/>
              <w:rPr>
                <w:color w:val="57585B"/>
                <w:spacing w:val="-5"/>
                <w:sz w:val="18"/>
                <w:lang w:bidi="es-ES"/>
              </w:rPr>
            </w:pPr>
            <w:r>
              <w:rPr>
                <w:color w:val="57585B"/>
                <w:spacing w:val="-3"/>
                <w:sz w:val="18"/>
                <w:lang w:bidi="es-ES"/>
              </w:rPr>
              <w:t>La tasa bruta de matriculación (TBM) en la educación preescolar ha aumentado, pasando del 20,2% en 2015 al 23,7% en 2016. La tasa neta de matriculación también aumentó, pasando del 14,2% al 17,2%. Aunque se trata de un aumento considerable, en 2016 no se alcanzaron las metas del Programa de Apoyo al Sector Educativo para los años 2016 y 2017, que eran del 29,9% y del 28,0%.</w:t>
            </w:r>
          </w:p>
        </w:tc>
      </w:tr>
      <w:tr w:rsidR="0017499E" w14:paraId="1355F082" w14:textId="77777777" w:rsidTr="003E1FA9">
        <w:trPr>
          <w:trHeight w:val="4104"/>
        </w:trPr>
        <w:tc>
          <w:tcPr>
            <w:tcW w:w="2263" w:type="dxa"/>
            <w:tcBorders>
              <w:left w:val="nil"/>
              <w:right w:val="nil"/>
            </w:tcBorders>
            <w:shd w:val="clear" w:color="auto" w:fill="F1F2F2"/>
          </w:tcPr>
          <w:p w14:paraId="0783D08F" w14:textId="77777777" w:rsidR="0017499E" w:rsidRDefault="0017499E" w:rsidP="0017499E">
            <w:pPr>
              <w:pStyle w:val="TableParagraph"/>
              <w:ind w:right="6"/>
              <w:rPr>
                <w:rFonts w:ascii="Times New Roman"/>
                <w:sz w:val="18"/>
              </w:rPr>
            </w:pPr>
          </w:p>
        </w:tc>
        <w:tc>
          <w:tcPr>
            <w:tcW w:w="5217" w:type="dxa"/>
            <w:tcBorders>
              <w:left w:val="nil"/>
            </w:tcBorders>
          </w:tcPr>
          <w:p w14:paraId="66E4BBFD" w14:textId="77777777" w:rsidR="0017499E" w:rsidRDefault="0017499E" w:rsidP="0017499E">
            <w:pPr>
              <w:pStyle w:val="TableParagraph"/>
              <w:ind w:right="6"/>
              <w:rPr>
                <w:rFonts w:ascii="Times New Roman"/>
                <w:sz w:val="18"/>
              </w:rPr>
            </w:pPr>
          </w:p>
        </w:tc>
        <w:tc>
          <w:tcPr>
            <w:tcW w:w="6280" w:type="dxa"/>
            <w:tcBorders>
              <w:right w:val="nil"/>
            </w:tcBorders>
          </w:tcPr>
          <w:p w14:paraId="700CC208" w14:textId="77777777" w:rsidR="0017499E" w:rsidRDefault="0017499E" w:rsidP="0017499E">
            <w:pPr>
              <w:pStyle w:val="TableParagraph"/>
              <w:spacing w:before="127"/>
              <w:ind w:left="111" w:right="6"/>
              <w:rPr>
                <w:sz w:val="18"/>
              </w:rPr>
            </w:pPr>
            <w:r>
              <w:rPr>
                <w:color w:val="57585B"/>
                <w:spacing w:val="-5"/>
                <w:sz w:val="18"/>
                <w:lang w:bidi="es-ES"/>
              </w:rPr>
              <w:t>Además, la TBM media aumentó en los 22 distritos con los peores resultados (definidos como los distritos con una TBM inferior al 17% en 2014), pasando del 14,1% en 2015 al 16,3% en 2016. Esto está en consonancia con la recomendación del “indicador de equidad” de la Alianza Mundial para la Educación. La Alianza Mundial para la Educación estipuló que los 22 distritos con los peores resultados debían aumentar su TBM media, la cual tenía que pasar del 10% en 2014 al 17% para el año 2017.</w:t>
            </w:r>
          </w:p>
          <w:p w14:paraId="347CA70A" w14:textId="77777777" w:rsidR="0017499E" w:rsidRDefault="0017499E" w:rsidP="0017499E">
            <w:pPr>
              <w:pStyle w:val="TableParagraph"/>
              <w:numPr>
                <w:ilvl w:val="0"/>
                <w:numId w:val="3"/>
              </w:numPr>
              <w:tabs>
                <w:tab w:val="left" w:pos="471"/>
                <w:tab w:val="left" w:pos="472"/>
              </w:tabs>
              <w:spacing w:before="113"/>
              <w:ind w:right="6"/>
              <w:rPr>
                <w:sz w:val="18"/>
              </w:rPr>
            </w:pPr>
            <w:r>
              <w:rPr>
                <w:color w:val="57585B"/>
                <w:spacing w:val="-4"/>
                <w:sz w:val="18"/>
                <w:lang w:bidi="es-ES"/>
              </w:rPr>
              <w:t>En cuanto al examen prospectivo y la ejecución del plan multianual, se definieron dos prioridades para el período 2017-2018:</w:t>
            </w:r>
          </w:p>
          <w:p w14:paraId="2D210778" w14:textId="77777777" w:rsidR="0017499E" w:rsidRDefault="0017499E" w:rsidP="0017499E">
            <w:pPr>
              <w:pStyle w:val="TableParagraph"/>
              <w:numPr>
                <w:ilvl w:val="0"/>
                <w:numId w:val="2"/>
              </w:numPr>
              <w:tabs>
                <w:tab w:val="left" w:pos="471"/>
                <w:tab w:val="left" w:pos="472"/>
              </w:tabs>
              <w:spacing w:before="113"/>
              <w:ind w:right="6"/>
              <w:rPr>
                <w:sz w:val="18"/>
              </w:rPr>
            </w:pPr>
            <w:r>
              <w:rPr>
                <w:color w:val="57585B"/>
                <w:spacing w:val="-5"/>
                <w:sz w:val="18"/>
                <w:lang w:bidi="es-ES"/>
              </w:rPr>
              <w:t>seguir ampliando el acceso y la participación en la educación preescolar a través del aumento del desarrollo de la infraestructura, el pago de los salarios de los docentes y la provisión de subvenciones por alumno, sobre todo para las escuelas preescolares de las zonas rurales; y</w:t>
            </w:r>
          </w:p>
          <w:p w14:paraId="67286274" w14:textId="77777777" w:rsidR="0017499E" w:rsidRDefault="0017499E" w:rsidP="0017499E">
            <w:pPr>
              <w:pStyle w:val="TableParagraph"/>
              <w:numPr>
                <w:ilvl w:val="0"/>
                <w:numId w:val="2"/>
              </w:numPr>
              <w:tabs>
                <w:tab w:val="left" w:pos="471"/>
                <w:tab w:val="left" w:pos="472"/>
              </w:tabs>
              <w:spacing w:before="113"/>
              <w:ind w:right="6"/>
              <w:rPr>
                <w:sz w:val="18"/>
              </w:rPr>
            </w:pPr>
            <w:r>
              <w:rPr>
                <w:color w:val="57585B"/>
                <w:spacing w:val="-5"/>
                <w:sz w:val="18"/>
                <w:lang w:bidi="es-ES"/>
              </w:rPr>
              <w:t>continuar con la ejecución de nuevos planes de estudios basados en las competencias mediante la capacitación para los docentes en educación preescolar, primaria y secundaria, así como la distribución de materiales de enseñanza y aprendizaje.</w:t>
            </w:r>
          </w:p>
        </w:tc>
      </w:tr>
      <w:tr w:rsidR="0017499E" w14:paraId="09CFB94D" w14:textId="77777777" w:rsidTr="00104B0C">
        <w:trPr>
          <w:trHeight w:val="4124"/>
        </w:trPr>
        <w:tc>
          <w:tcPr>
            <w:tcW w:w="2263" w:type="dxa"/>
            <w:tcBorders>
              <w:left w:val="nil"/>
              <w:right w:val="nil"/>
            </w:tcBorders>
            <w:shd w:val="clear" w:color="auto" w:fill="F1F2F2"/>
            <w:vAlign w:val="center"/>
          </w:tcPr>
          <w:p w14:paraId="4148DD99" w14:textId="647A2DFD" w:rsidR="0017499E" w:rsidRDefault="0017499E" w:rsidP="0017499E">
            <w:pPr>
              <w:pStyle w:val="TableParagraph"/>
              <w:jc w:val="center"/>
              <w:rPr>
                <w:rFonts w:ascii="Times New Roman"/>
                <w:sz w:val="18"/>
              </w:rPr>
            </w:pPr>
            <w:r>
              <w:rPr>
                <w:b/>
                <w:color w:val="913592"/>
                <w:sz w:val="18"/>
                <w:lang w:bidi="es-ES"/>
              </w:rPr>
              <w:t>Indicadores</w:t>
            </w:r>
          </w:p>
        </w:tc>
        <w:tc>
          <w:tcPr>
            <w:tcW w:w="5217" w:type="dxa"/>
            <w:tcBorders>
              <w:left w:val="nil"/>
            </w:tcBorders>
          </w:tcPr>
          <w:p w14:paraId="236A136C" w14:textId="59528DD2" w:rsidR="0017499E" w:rsidRDefault="0017499E" w:rsidP="0017499E">
            <w:pPr>
              <w:pStyle w:val="TableParagraph"/>
              <w:spacing w:before="120"/>
              <w:ind w:left="113" w:right="113"/>
              <w:rPr>
                <w:rFonts w:ascii="Times New Roman"/>
                <w:sz w:val="18"/>
              </w:rPr>
            </w:pPr>
            <w:r>
              <w:rPr>
                <w:color w:val="57585B"/>
                <w:spacing w:val="-4"/>
                <w:sz w:val="18"/>
                <w:lang w:bidi="es-ES"/>
              </w:rPr>
              <w:t>Indicadores de procesos y productos que miden la ejecución de intervenciones concretas, combinados con indicadores de resultados, siempre que sea posible; indicadores relacionados con los esfuerzos para resolver obstáculos, compatibilidad con el marco de políticas compartidas, seguimiento participativo.</w:t>
            </w:r>
          </w:p>
        </w:tc>
        <w:tc>
          <w:tcPr>
            <w:tcW w:w="6280" w:type="dxa"/>
            <w:tcBorders>
              <w:bottom w:val="single" w:sz="2" w:space="0" w:color="808080" w:themeColor="background1" w:themeShade="80"/>
              <w:right w:val="nil"/>
            </w:tcBorders>
            <w:shd w:val="clear" w:color="auto" w:fill="auto"/>
          </w:tcPr>
          <w:p w14:paraId="7C1F3E61" w14:textId="77777777" w:rsidR="0017499E" w:rsidRDefault="0017499E" w:rsidP="0017499E">
            <w:pPr>
              <w:pStyle w:val="TableParagraph"/>
              <w:spacing w:before="127"/>
              <w:ind w:left="111" w:right="239"/>
              <w:rPr>
                <w:sz w:val="18"/>
              </w:rPr>
            </w:pPr>
            <w:r>
              <w:rPr>
                <w:color w:val="57585B"/>
                <w:spacing w:val="-4"/>
                <w:sz w:val="18"/>
                <w:lang w:bidi="es-ES"/>
              </w:rPr>
              <w:t>Asegurarse de que el análisis incluya los indicadores para el subsector de la EPI indicados en el marco de resultados del plan del sector educativo.</w:t>
            </w:r>
          </w:p>
          <w:p w14:paraId="55A8F8A9" w14:textId="77777777" w:rsidR="0017499E" w:rsidRDefault="0017499E" w:rsidP="0017499E">
            <w:pPr>
              <w:pStyle w:val="TableParagraph"/>
              <w:spacing w:before="113"/>
              <w:ind w:left="111" w:right="122"/>
              <w:rPr>
                <w:sz w:val="18"/>
              </w:rPr>
            </w:pPr>
            <w:r>
              <w:rPr>
                <w:color w:val="57585B"/>
                <w:sz w:val="18"/>
                <w:lang w:bidi="es-ES"/>
              </w:rPr>
              <w:t>En 2015, el examen sectorial conjunto de Camboya se centró en seis esferas temáticas (atención y educación de la primera infancia, educación primaria, educación secundaria, educación técnica y de preparación para la empleabilidad, educación no formal y educación superior).</w:t>
            </w:r>
          </w:p>
          <w:p w14:paraId="2199952C" w14:textId="77777777" w:rsidR="0017499E" w:rsidRDefault="0017499E" w:rsidP="0017499E">
            <w:pPr>
              <w:pStyle w:val="TableParagraph"/>
              <w:spacing w:before="113"/>
              <w:ind w:left="111"/>
              <w:rPr>
                <w:sz w:val="18"/>
              </w:rPr>
            </w:pPr>
            <w:r>
              <w:rPr>
                <w:color w:val="57585B"/>
                <w:sz w:val="18"/>
                <w:lang w:bidi="es-ES"/>
              </w:rPr>
              <w:t>Los indicadores (insumo, producto y resultado) específicos sobre la EPI fueron los siguientes:</w:t>
            </w:r>
          </w:p>
          <w:p w14:paraId="1BFC7B00" w14:textId="77777777" w:rsidR="0017499E" w:rsidRDefault="0017499E" w:rsidP="0017499E">
            <w:pPr>
              <w:pStyle w:val="TableParagraph"/>
              <w:numPr>
                <w:ilvl w:val="0"/>
                <w:numId w:val="1"/>
              </w:numPr>
              <w:tabs>
                <w:tab w:val="left" w:pos="678"/>
                <w:tab w:val="left" w:pos="679"/>
              </w:tabs>
              <w:spacing w:before="147"/>
              <w:rPr>
                <w:sz w:val="18"/>
              </w:rPr>
            </w:pPr>
            <w:r>
              <w:rPr>
                <w:color w:val="57585B"/>
                <w:sz w:val="18"/>
                <w:lang w:bidi="es-ES"/>
              </w:rPr>
              <w:t>porcentaje de niños de 5 años en preescolar</w:t>
            </w:r>
          </w:p>
          <w:p w14:paraId="40076373" w14:textId="77777777" w:rsidR="0017499E" w:rsidRDefault="0017499E" w:rsidP="0017499E">
            <w:pPr>
              <w:pStyle w:val="TableParagraph"/>
              <w:numPr>
                <w:ilvl w:val="0"/>
                <w:numId w:val="1"/>
              </w:numPr>
              <w:tabs>
                <w:tab w:val="left" w:pos="678"/>
                <w:tab w:val="left" w:pos="679"/>
              </w:tabs>
              <w:spacing w:before="146"/>
              <w:rPr>
                <w:sz w:val="18"/>
              </w:rPr>
            </w:pPr>
            <w:r>
              <w:rPr>
                <w:color w:val="57585B"/>
                <w:sz w:val="18"/>
                <w:lang w:bidi="es-ES"/>
              </w:rPr>
              <w:t>porcentaje de niños de 4 años en educación de la primera infancia o preescolar</w:t>
            </w:r>
          </w:p>
          <w:p w14:paraId="767F124F" w14:textId="77777777" w:rsidR="0017499E" w:rsidRDefault="0017499E" w:rsidP="0017499E">
            <w:pPr>
              <w:pStyle w:val="TableParagraph"/>
              <w:numPr>
                <w:ilvl w:val="0"/>
                <w:numId w:val="1"/>
              </w:numPr>
              <w:tabs>
                <w:tab w:val="left" w:pos="678"/>
                <w:tab w:val="left" w:pos="679"/>
              </w:tabs>
              <w:spacing w:before="146"/>
              <w:rPr>
                <w:sz w:val="18"/>
              </w:rPr>
            </w:pPr>
            <w:r>
              <w:rPr>
                <w:color w:val="57585B"/>
                <w:sz w:val="18"/>
                <w:lang w:bidi="es-ES"/>
              </w:rPr>
              <w:t>porcentaje de niños de 3 años en educación de la primera infancia o preescolar</w:t>
            </w:r>
          </w:p>
          <w:p w14:paraId="3777CBBC" w14:textId="1452CE13" w:rsidR="0017499E" w:rsidRPr="005A3EA2" w:rsidRDefault="0017499E" w:rsidP="0017499E">
            <w:pPr>
              <w:pStyle w:val="TableParagraph"/>
              <w:numPr>
                <w:ilvl w:val="0"/>
                <w:numId w:val="1"/>
              </w:numPr>
              <w:tabs>
                <w:tab w:val="left" w:pos="678"/>
                <w:tab w:val="left" w:pos="679"/>
              </w:tabs>
              <w:spacing w:before="147"/>
              <w:rPr>
                <w:sz w:val="18"/>
              </w:rPr>
            </w:pPr>
            <w:r>
              <w:rPr>
                <w:color w:val="57585B"/>
                <w:sz w:val="18"/>
                <w:lang w:bidi="es-ES"/>
              </w:rPr>
              <w:t>porcentaje de servicios de EPI que cumplen con los estándares de calidad</w:t>
            </w:r>
          </w:p>
        </w:tc>
      </w:tr>
    </w:tbl>
    <w:p w14:paraId="1609CBE8" w14:textId="77777777" w:rsidR="00E35672" w:rsidRDefault="00E35672" w:rsidP="007A24B1">
      <w:pPr>
        <w:rPr>
          <w:sz w:val="18"/>
        </w:rPr>
        <w:sectPr w:rsidR="00E35672">
          <w:pgSz w:w="15840" w:h="12240" w:orient="landscape"/>
          <w:pgMar w:top="840" w:right="940" w:bottom="280" w:left="860" w:header="574" w:footer="0" w:gutter="0"/>
          <w:cols w:space="720"/>
        </w:sectPr>
      </w:pPr>
    </w:p>
    <w:p w14:paraId="10E03D21" w14:textId="77777777" w:rsidR="00E35672" w:rsidRDefault="00E35672" w:rsidP="007A24B1">
      <w:pPr>
        <w:pStyle w:val="Textoindependiente"/>
        <w:spacing w:before="5" w:after="1"/>
        <w:rPr>
          <w:rFonts w:ascii="Times New Roman"/>
          <w:sz w:val="25"/>
        </w:rPr>
      </w:pPr>
    </w:p>
    <w:tbl>
      <w:tblPr>
        <w:tblStyle w:val="TableNormal1"/>
        <w:tblW w:w="0" w:type="auto"/>
        <w:tblInd w:w="14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263"/>
        <w:gridCol w:w="5251"/>
        <w:gridCol w:w="6246"/>
      </w:tblGrid>
      <w:tr w:rsidR="005179FB" w14:paraId="3A109372" w14:textId="77777777" w:rsidTr="002A2E6C">
        <w:trPr>
          <w:trHeight w:val="463"/>
        </w:trPr>
        <w:tc>
          <w:tcPr>
            <w:tcW w:w="2263" w:type="dxa"/>
            <w:tcBorders>
              <w:left w:val="nil"/>
              <w:right w:val="nil"/>
            </w:tcBorders>
          </w:tcPr>
          <w:p w14:paraId="0595D729" w14:textId="77777777" w:rsidR="005179FB" w:rsidRDefault="005179FB" w:rsidP="005179FB">
            <w:pPr>
              <w:pStyle w:val="TableParagraph"/>
              <w:spacing w:beforeLines="60" w:before="144"/>
              <w:rPr>
                <w:rFonts w:ascii="Times New Roman"/>
                <w:sz w:val="16"/>
              </w:rPr>
            </w:pPr>
          </w:p>
        </w:tc>
        <w:tc>
          <w:tcPr>
            <w:tcW w:w="5251" w:type="dxa"/>
            <w:tcBorders>
              <w:left w:val="nil"/>
              <w:right w:val="nil"/>
            </w:tcBorders>
          </w:tcPr>
          <w:p w14:paraId="606BEDE6" w14:textId="5D84D95D" w:rsidR="005179FB" w:rsidRDefault="005179FB" w:rsidP="005179FB">
            <w:pPr>
              <w:pStyle w:val="TableParagraph"/>
              <w:spacing w:beforeLines="60" w:before="144"/>
              <w:rPr>
                <w:b/>
                <w:sz w:val="20"/>
              </w:rPr>
            </w:pPr>
            <w:r w:rsidRPr="008876F9">
              <w:rPr>
                <w:b/>
                <w:color w:val="913592"/>
                <w:sz w:val="18"/>
                <w:szCs w:val="18"/>
                <w:lang w:bidi="es-ES"/>
              </w:rPr>
              <w:t>Características del examen sectorial conjunto anual</w:t>
            </w:r>
          </w:p>
        </w:tc>
        <w:tc>
          <w:tcPr>
            <w:tcW w:w="6246" w:type="dxa"/>
            <w:tcBorders>
              <w:left w:val="nil"/>
              <w:right w:val="nil"/>
            </w:tcBorders>
          </w:tcPr>
          <w:p w14:paraId="27927EA0" w14:textId="58DF9346" w:rsidR="005179FB" w:rsidRDefault="005179FB" w:rsidP="002A2E6C">
            <w:pPr>
              <w:pStyle w:val="TableParagraph"/>
              <w:spacing w:beforeLines="60" w:before="144"/>
              <w:jc w:val="center"/>
              <w:rPr>
                <w:b/>
                <w:sz w:val="20"/>
              </w:rPr>
            </w:pPr>
            <w:r w:rsidRPr="008876F9">
              <w:rPr>
                <w:b/>
                <w:color w:val="913592"/>
                <w:sz w:val="18"/>
                <w:szCs w:val="18"/>
                <w:lang w:bidi="es-ES"/>
              </w:rPr>
              <w:t>Consideraciones específicas para el subsector de la EPI</w:t>
            </w:r>
          </w:p>
        </w:tc>
      </w:tr>
      <w:tr w:rsidR="005179FB" w14:paraId="5D7089C0" w14:textId="77777777" w:rsidTr="005A3EA2">
        <w:trPr>
          <w:trHeight w:val="1689"/>
        </w:trPr>
        <w:tc>
          <w:tcPr>
            <w:tcW w:w="2263" w:type="dxa"/>
            <w:tcBorders>
              <w:left w:val="nil"/>
              <w:right w:val="nil"/>
            </w:tcBorders>
            <w:shd w:val="clear" w:color="auto" w:fill="F1F2F2"/>
            <w:vAlign w:val="center"/>
          </w:tcPr>
          <w:p w14:paraId="0499B44D" w14:textId="77777777" w:rsidR="005179FB" w:rsidRDefault="005179FB" w:rsidP="00162DCA">
            <w:pPr>
              <w:pStyle w:val="TableParagraph"/>
              <w:ind w:left="299" w:right="293"/>
              <w:jc w:val="center"/>
              <w:rPr>
                <w:b/>
                <w:color w:val="913592"/>
                <w:sz w:val="18"/>
                <w:lang w:bidi="es-ES"/>
              </w:rPr>
            </w:pPr>
          </w:p>
        </w:tc>
        <w:tc>
          <w:tcPr>
            <w:tcW w:w="5251" w:type="dxa"/>
            <w:tcBorders>
              <w:left w:val="nil"/>
            </w:tcBorders>
          </w:tcPr>
          <w:p w14:paraId="17A6AC04" w14:textId="77777777" w:rsidR="005179FB" w:rsidRDefault="005179FB" w:rsidP="007A24B1">
            <w:pPr>
              <w:pStyle w:val="TableParagraph"/>
              <w:spacing w:before="4"/>
              <w:ind w:left="113" w:right="113"/>
              <w:rPr>
                <w:rFonts w:ascii="Times New Roman"/>
                <w:sz w:val="17"/>
              </w:rPr>
            </w:pPr>
          </w:p>
        </w:tc>
        <w:tc>
          <w:tcPr>
            <w:tcW w:w="6246" w:type="dxa"/>
            <w:tcBorders>
              <w:right w:val="nil"/>
            </w:tcBorders>
            <w:vAlign w:val="center"/>
          </w:tcPr>
          <w:p w14:paraId="59C18E64" w14:textId="77777777" w:rsidR="005179FB" w:rsidRDefault="005179FB" w:rsidP="005179FB">
            <w:pPr>
              <w:pStyle w:val="TableParagraph"/>
              <w:numPr>
                <w:ilvl w:val="0"/>
                <w:numId w:val="1"/>
              </w:numPr>
              <w:tabs>
                <w:tab w:val="left" w:pos="678"/>
                <w:tab w:val="left" w:pos="679"/>
              </w:tabs>
              <w:spacing w:before="146"/>
              <w:rPr>
                <w:sz w:val="18"/>
              </w:rPr>
            </w:pPr>
            <w:r>
              <w:rPr>
                <w:color w:val="57585B"/>
                <w:sz w:val="18"/>
                <w:lang w:bidi="es-ES"/>
              </w:rPr>
              <w:t>porcentaje de servicios de EPI para los cuales la capacidad de aprendizaje de los alumnos de 5 años se ha comprobado</w:t>
            </w:r>
          </w:p>
          <w:p w14:paraId="0AE9B68D" w14:textId="77777777" w:rsidR="004C0FD3" w:rsidRDefault="005179FB" w:rsidP="004C0FD3">
            <w:pPr>
              <w:pStyle w:val="TableParagraph"/>
              <w:numPr>
                <w:ilvl w:val="0"/>
                <w:numId w:val="1"/>
              </w:numPr>
              <w:tabs>
                <w:tab w:val="left" w:pos="678"/>
                <w:tab w:val="left" w:pos="679"/>
              </w:tabs>
              <w:spacing w:before="147"/>
              <w:rPr>
                <w:sz w:val="18"/>
              </w:rPr>
            </w:pPr>
            <w:r>
              <w:rPr>
                <w:color w:val="57585B"/>
                <w:sz w:val="18"/>
                <w:lang w:bidi="es-ES"/>
              </w:rPr>
              <w:t>porcentaje de niños con un estado de nutrición aceptable</w:t>
            </w:r>
          </w:p>
          <w:p w14:paraId="7021D836" w14:textId="602F1FF4" w:rsidR="005179FB" w:rsidRPr="004C0FD3" w:rsidRDefault="005179FB" w:rsidP="004C0FD3">
            <w:pPr>
              <w:pStyle w:val="TableParagraph"/>
              <w:numPr>
                <w:ilvl w:val="0"/>
                <w:numId w:val="1"/>
              </w:numPr>
              <w:tabs>
                <w:tab w:val="left" w:pos="678"/>
                <w:tab w:val="left" w:pos="679"/>
              </w:tabs>
              <w:spacing w:before="147"/>
              <w:rPr>
                <w:sz w:val="18"/>
              </w:rPr>
            </w:pPr>
            <w:r w:rsidRPr="004C0FD3">
              <w:rPr>
                <w:color w:val="57585B"/>
                <w:sz w:val="18"/>
                <w:lang w:bidi="es-ES"/>
              </w:rPr>
              <w:t>porcentaje de niños en escuelas preescolares públicas que recibieron un tratamiento de desparasitación</w:t>
            </w:r>
          </w:p>
        </w:tc>
      </w:tr>
      <w:tr w:rsidR="00E35672" w14:paraId="1CB0E85B" w14:textId="77777777" w:rsidTr="000B2881">
        <w:trPr>
          <w:trHeight w:val="1340"/>
        </w:trPr>
        <w:tc>
          <w:tcPr>
            <w:tcW w:w="2263" w:type="dxa"/>
            <w:tcBorders>
              <w:left w:val="nil"/>
              <w:right w:val="nil"/>
            </w:tcBorders>
            <w:shd w:val="clear" w:color="auto" w:fill="F1F2F2"/>
            <w:vAlign w:val="center"/>
          </w:tcPr>
          <w:p w14:paraId="4C6EF3C9" w14:textId="77777777" w:rsidR="00E35672" w:rsidRDefault="003125F6" w:rsidP="00162DCA">
            <w:pPr>
              <w:pStyle w:val="TableParagraph"/>
              <w:ind w:left="299" w:right="293"/>
              <w:jc w:val="center"/>
              <w:rPr>
                <w:b/>
                <w:sz w:val="18"/>
              </w:rPr>
            </w:pPr>
            <w:r>
              <w:rPr>
                <w:b/>
                <w:color w:val="913592"/>
                <w:sz w:val="18"/>
                <w:lang w:bidi="es-ES"/>
              </w:rPr>
              <w:t>Insumos</w:t>
            </w:r>
          </w:p>
        </w:tc>
        <w:tc>
          <w:tcPr>
            <w:tcW w:w="5251" w:type="dxa"/>
            <w:tcBorders>
              <w:left w:val="nil"/>
            </w:tcBorders>
          </w:tcPr>
          <w:p w14:paraId="11ED25D1" w14:textId="77777777" w:rsidR="00E35672" w:rsidRDefault="003125F6" w:rsidP="00166554">
            <w:pPr>
              <w:pStyle w:val="TableParagraph"/>
              <w:spacing w:before="127"/>
              <w:ind w:left="113" w:right="113"/>
              <w:rPr>
                <w:sz w:val="18"/>
              </w:rPr>
            </w:pPr>
            <w:r>
              <w:rPr>
                <w:color w:val="57585B"/>
                <w:spacing w:val="-4"/>
                <w:sz w:val="18"/>
                <w:lang w:bidi="es-ES"/>
              </w:rPr>
              <w:t>Informes anuales de ejecución, información y datos cuantitativos y cualitativos de un amplio espectro de asociados humanitarios y para el desarrollo, complementarios del informe anual de ejecución.</w:t>
            </w:r>
          </w:p>
        </w:tc>
        <w:tc>
          <w:tcPr>
            <w:tcW w:w="6246" w:type="dxa"/>
            <w:tcBorders>
              <w:right w:val="nil"/>
            </w:tcBorders>
            <w:vAlign w:val="center"/>
          </w:tcPr>
          <w:p w14:paraId="44FC435C" w14:textId="77777777" w:rsidR="00E35672" w:rsidRDefault="003125F6" w:rsidP="00166554">
            <w:pPr>
              <w:pStyle w:val="TableParagraph"/>
              <w:spacing w:before="127"/>
              <w:ind w:left="113" w:right="113"/>
              <w:rPr>
                <w:sz w:val="18"/>
              </w:rPr>
            </w:pPr>
            <w:r>
              <w:rPr>
                <w:color w:val="57585B"/>
                <w:spacing w:val="-4"/>
                <w:sz w:val="18"/>
                <w:lang w:bidi="es-ES"/>
              </w:rPr>
              <w:t>Asegurarse de que se consulten los informes de los asociados durante la preparación del informe del examen sectorial conjunto para el subsector de la EPI. Estos informes pueden utilizarse como complementos al informe de ejecución y, en algunas ocasiones, los participantes pueden consultar algunos ejemplares durante el examen conjunto del sector educativo.</w:t>
            </w:r>
          </w:p>
        </w:tc>
      </w:tr>
      <w:tr w:rsidR="00E35672" w14:paraId="029F70DA" w14:textId="77777777" w:rsidTr="00A9603B">
        <w:trPr>
          <w:trHeight w:val="1000"/>
        </w:trPr>
        <w:tc>
          <w:tcPr>
            <w:tcW w:w="2263" w:type="dxa"/>
            <w:tcBorders>
              <w:left w:val="nil"/>
              <w:right w:val="nil"/>
            </w:tcBorders>
            <w:shd w:val="clear" w:color="auto" w:fill="F1F2F2"/>
            <w:vAlign w:val="center"/>
          </w:tcPr>
          <w:p w14:paraId="7E209672" w14:textId="77777777" w:rsidR="00E35672" w:rsidRDefault="003125F6" w:rsidP="00162DCA">
            <w:pPr>
              <w:pStyle w:val="TableParagraph"/>
              <w:ind w:left="299" w:right="293"/>
              <w:jc w:val="center"/>
              <w:rPr>
                <w:b/>
                <w:sz w:val="18"/>
              </w:rPr>
            </w:pPr>
            <w:r>
              <w:rPr>
                <w:b/>
                <w:color w:val="913592"/>
                <w:sz w:val="18"/>
                <w:lang w:bidi="es-ES"/>
              </w:rPr>
              <w:t>Productos</w:t>
            </w:r>
          </w:p>
        </w:tc>
        <w:tc>
          <w:tcPr>
            <w:tcW w:w="5251" w:type="dxa"/>
            <w:tcBorders>
              <w:left w:val="nil"/>
            </w:tcBorders>
          </w:tcPr>
          <w:p w14:paraId="44E183E0" w14:textId="77777777" w:rsidR="00E35672" w:rsidRDefault="003125F6" w:rsidP="00166554">
            <w:pPr>
              <w:pStyle w:val="TableParagraph"/>
              <w:spacing w:before="127"/>
              <w:ind w:left="113" w:right="113"/>
              <w:rPr>
                <w:sz w:val="18"/>
              </w:rPr>
            </w:pPr>
            <w:proofErr w:type="spellStart"/>
            <w:r>
              <w:rPr>
                <w:i/>
                <w:color w:val="57585B"/>
                <w:sz w:val="18"/>
                <w:lang w:bidi="es-ES"/>
              </w:rPr>
              <w:t>Aide-mémoire</w:t>
            </w:r>
            <w:proofErr w:type="spellEnd"/>
          </w:p>
        </w:tc>
        <w:tc>
          <w:tcPr>
            <w:tcW w:w="6246" w:type="dxa"/>
            <w:tcBorders>
              <w:right w:val="nil"/>
            </w:tcBorders>
          </w:tcPr>
          <w:p w14:paraId="290D69C5" w14:textId="77777777" w:rsidR="00E35672" w:rsidRDefault="003125F6" w:rsidP="00166554">
            <w:pPr>
              <w:pStyle w:val="TableParagraph"/>
              <w:spacing w:before="127"/>
              <w:ind w:left="113" w:right="113"/>
              <w:rPr>
                <w:sz w:val="18"/>
              </w:rPr>
            </w:pPr>
            <w:r>
              <w:rPr>
                <w:color w:val="57585B"/>
                <w:spacing w:val="-4"/>
                <w:sz w:val="18"/>
                <w:lang w:bidi="es-ES"/>
              </w:rPr>
              <w:t xml:space="preserve">Asegurarse de que el </w:t>
            </w:r>
            <w:proofErr w:type="spellStart"/>
            <w:r>
              <w:rPr>
                <w:i/>
                <w:color w:val="57585B"/>
                <w:spacing w:val="-4"/>
                <w:sz w:val="18"/>
                <w:lang w:bidi="es-ES"/>
              </w:rPr>
              <w:t>aide-mémoire</w:t>
            </w:r>
            <w:proofErr w:type="spellEnd"/>
            <w:r>
              <w:rPr>
                <w:color w:val="57585B"/>
                <w:spacing w:val="-4"/>
                <w:sz w:val="18"/>
                <w:lang w:bidi="es-ES"/>
              </w:rPr>
              <w:t xml:space="preserve"> del examen sectorial conjunto incluya la EPI. Véase a continuación el ejemplo de Camboya, cuyo </w:t>
            </w:r>
            <w:proofErr w:type="spellStart"/>
            <w:r>
              <w:rPr>
                <w:i/>
                <w:color w:val="57585B"/>
                <w:spacing w:val="-4"/>
                <w:sz w:val="18"/>
                <w:lang w:bidi="es-ES"/>
              </w:rPr>
              <w:t>aide-mémoire</w:t>
            </w:r>
            <w:proofErr w:type="spellEnd"/>
            <w:r>
              <w:rPr>
                <w:color w:val="57585B"/>
                <w:spacing w:val="-4"/>
                <w:sz w:val="18"/>
                <w:lang w:bidi="es-ES"/>
              </w:rPr>
              <w:t xml:space="preserve"> incluye la EPI.</w:t>
            </w:r>
          </w:p>
        </w:tc>
      </w:tr>
      <w:tr w:rsidR="00E35672" w14:paraId="5CF1F248" w14:textId="77777777" w:rsidTr="00A9603B">
        <w:trPr>
          <w:trHeight w:val="986"/>
        </w:trPr>
        <w:tc>
          <w:tcPr>
            <w:tcW w:w="2263" w:type="dxa"/>
            <w:tcBorders>
              <w:left w:val="nil"/>
              <w:right w:val="nil"/>
            </w:tcBorders>
            <w:shd w:val="clear" w:color="auto" w:fill="F1F2F2"/>
            <w:vAlign w:val="center"/>
          </w:tcPr>
          <w:p w14:paraId="27A663B7" w14:textId="77777777" w:rsidR="00E35672" w:rsidRDefault="003125F6" w:rsidP="00162DCA">
            <w:pPr>
              <w:pStyle w:val="TableParagraph"/>
              <w:ind w:left="299" w:right="293"/>
              <w:jc w:val="center"/>
              <w:rPr>
                <w:b/>
                <w:sz w:val="18"/>
              </w:rPr>
            </w:pPr>
            <w:r>
              <w:rPr>
                <w:b/>
                <w:color w:val="913592"/>
                <w:sz w:val="18"/>
                <w:lang w:bidi="es-ES"/>
              </w:rPr>
              <w:t>Resultado previsto</w:t>
            </w:r>
          </w:p>
        </w:tc>
        <w:tc>
          <w:tcPr>
            <w:tcW w:w="5251" w:type="dxa"/>
            <w:tcBorders>
              <w:left w:val="nil"/>
            </w:tcBorders>
          </w:tcPr>
          <w:p w14:paraId="2B5FBC57" w14:textId="77777777" w:rsidR="00E35672" w:rsidRDefault="003125F6" w:rsidP="00166554">
            <w:pPr>
              <w:pStyle w:val="TableParagraph"/>
              <w:spacing w:before="127"/>
              <w:ind w:left="113" w:right="113"/>
              <w:rPr>
                <w:sz w:val="18"/>
              </w:rPr>
            </w:pPr>
            <w:r>
              <w:rPr>
                <w:color w:val="57585B"/>
                <w:spacing w:val="-4"/>
                <w:sz w:val="18"/>
                <w:lang w:bidi="es-ES"/>
              </w:rPr>
              <w:t>Plan operacional anual o multianual ajustado en función de las recomendaciones acordadas.</w:t>
            </w:r>
          </w:p>
        </w:tc>
        <w:tc>
          <w:tcPr>
            <w:tcW w:w="6246" w:type="dxa"/>
            <w:tcBorders>
              <w:right w:val="nil"/>
            </w:tcBorders>
          </w:tcPr>
          <w:p w14:paraId="5DE2B2CB" w14:textId="77777777" w:rsidR="00E35672" w:rsidRDefault="003125F6" w:rsidP="00166554">
            <w:pPr>
              <w:pStyle w:val="TableParagraph"/>
              <w:spacing w:before="127"/>
              <w:ind w:left="113" w:right="113"/>
              <w:rPr>
                <w:sz w:val="18"/>
              </w:rPr>
            </w:pPr>
            <w:r>
              <w:rPr>
                <w:color w:val="57585B"/>
                <w:spacing w:val="-4"/>
                <w:sz w:val="18"/>
                <w:lang w:bidi="es-ES"/>
              </w:rPr>
              <w:t>Asegurarse de que se utilicen los resultados del examen conjunto del sector educativo que incluyen las recomendaciones a la hora de ajustar el plan operacional multianual.</w:t>
            </w:r>
          </w:p>
        </w:tc>
      </w:tr>
    </w:tbl>
    <w:p w14:paraId="48E89A82" w14:textId="77777777" w:rsidR="00E35672" w:rsidRDefault="00E35672" w:rsidP="007A24B1">
      <w:pPr>
        <w:pStyle w:val="Textoindependiente"/>
        <w:spacing w:before="10"/>
        <w:rPr>
          <w:rFonts w:ascii="Times New Roman"/>
          <w:sz w:val="24"/>
        </w:rPr>
      </w:pPr>
    </w:p>
    <w:p w14:paraId="1E7C4BB7" w14:textId="77777777" w:rsidR="00E35672" w:rsidRPr="006C4C7D" w:rsidRDefault="003125F6" w:rsidP="007A24B1">
      <w:pPr>
        <w:spacing w:before="96"/>
        <w:ind w:left="137"/>
        <w:rPr>
          <w:sz w:val="14"/>
          <w:lang w:val="en-GB"/>
        </w:rPr>
      </w:pPr>
      <w:r w:rsidRPr="006C4C7D">
        <w:rPr>
          <w:color w:val="6D6E71"/>
          <w:sz w:val="14"/>
          <w:lang w:val="en-GB" w:bidi="es-ES"/>
        </w:rPr>
        <w:t xml:space="preserve">Fuente: </w:t>
      </w:r>
      <w:proofErr w:type="spellStart"/>
      <w:r w:rsidRPr="006C4C7D">
        <w:rPr>
          <w:color w:val="6D6E71"/>
          <w:sz w:val="14"/>
          <w:lang w:val="en-GB" w:bidi="es-ES"/>
        </w:rPr>
        <w:t>Adaptado</w:t>
      </w:r>
      <w:proofErr w:type="spellEnd"/>
      <w:r w:rsidRPr="006C4C7D">
        <w:rPr>
          <w:color w:val="6D6E71"/>
          <w:sz w:val="14"/>
          <w:lang w:val="en-GB" w:bidi="es-ES"/>
        </w:rPr>
        <w:t xml:space="preserve"> de </w:t>
      </w:r>
      <w:r w:rsidRPr="006C4C7D">
        <w:rPr>
          <w:i/>
          <w:color w:val="6D6E71"/>
          <w:sz w:val="14"/>
          <w:lang w:val="en-GB" w:bidi="es-ES"/>
        </w:rPr>
        <w:t>Joint Annual Health Sector Reviews:</w:t>
      </w:r>
      <w:r w:rsidRPr="006C4C7D">
        <w:rPr>
          <w:color w:val="6D6E71"/>
          <w:sz w:val="14"/>
          <w:lang w:val="en-GB" w:bidi="es-ES"/>
        </w:rPr>
        <w:t xml:space="preserve"> </w:t>
      </w:r>
      <w:r w:rsidRPr="006C4C7D">
        <w:rPr>
          <w:i/>
          <w:color w:val="6D6E71"/>
          <w:sz w:val="14"/>
          <w:lang w:val="en-GB" w:bidi="es-ES"/>
        </w:rPr>
        <w:t xml:space="preserve">Why and how to organize them, </w:t>
      </w:r>
      <w:proofErr w:type="spellStart"/>
      <w:r w:rsidRPr="006C4C7D">
        <w:rPr>
          <w:color w:val="6D6E71"/>
          <w:sz w:val="14"/>
          <w:lang w:val="en-GB" w:bidi="es-ES"/>
        </w:rPr>
        <w:t>Organización</w:t>
      </w:r>
      <w:proofErr w:type="spellEnd"/>
      <w:r w:rsidRPr="006C4C7D">
        <w:rPr>
          <w:color w:val="6D6E71"/>
          <w:sz w:val="14"/>
          <w:lang w:val="en-GB" w:bidi="es-ES"/>
        </w:rPr>
        <w:t xml:space="preserve"> Mundial de la </w:t>
      </w:r>
      <w:proofErr w:type="spellStart"/>
      <w:r w:rsidRPr="006C4C7D">
        <w:rPr>
          <w:color w:val="6D6E71"/>
          <w:sz w:val="14"/>
          <w:lang w:val="en-GB" w:bidi="es-ES"/>
        </w:rPr>
        <w:t>Salud</w:t>
      </w:r>
      <w:proofErr w:type="spellEnd"/>
      <w:r w:rsidRPr="006C4C7D">
        <w:rPr>
          <w:color w:val="6D6E71"/>
          <w:sz w:val="14"/>
          <w:lang w:val="en-GB" w:bidi="es-ES"/>
        </w:rPr>
        <w:t xml:space="preserve"> (OMS), 2014.</w:t>
      </w:r>
    </w:p>
    <w:sectPr w:rsidR="00E35672" w:rsidRPr="006C4C7D">
      <w:pgSz w:w="15840" w:h="12240" w:orient="landscape"/>
      <w:pgMar w:top="840" w:right="940" w:bottom="280" w:left="860" w:header="574"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928E" w16cex:dateUtc="2021-03-26T17:04:00Z"/>
  <w16cex:commentExtensible w16cex:durableId="240892B5" w16cex:dateUtc="2021-03-26T17:04:00Z"/>
  <w16cex:commentExtensible w16cex:durableId="240892CE" w16cex:dateUtc="2021-03-26T17: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71FC7" w14:textId="77777777" w:rsidR="00960D53" w:rsidRDefault="00960D53">
      <w:r>
        <w:separator/>
      </w:r>
    </w:p>
  </w:endnote>
  <w:endnote w:type="continuationSeparator" w:id="0">
    <w:p w14:paraId="5299EFD5" w14:textId="77777777" w:rsidR="00960D53" w:rsidRDefault="0096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3FE11" w14:textId="77777777" w:rsidR="00960D53" w:rsidRDefault="00960D53">
      <w:r>
        <w:separator/>
      </w:r>
    </w:p>
  </w:footnote>
  <w:footnote w:type="continuationSeparator" w:id="0">
    <w:p w14:paraId="5D9B66E1" w14:textId="77777777" w:rsidR="00960D53" w:rsidRDefault="00960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DA412" w14:textId="77777777" w:rsidR="00E35672" w:rsidRDefault="00960D53">
    <w:pPr>
      <w:pStyle w:val="Textoindependiente"/>
      <w:spacing w:line="14" w:lineRule="auto"/>
    </w:pPr>
    <w:r>
      <w:rPr>
        <w:lang w:bidi="es-ES"/>
      </w:rPr>
      <w:pict w14:anchorId="05E6B970">
        <v:shapetype id="_x0000_t202" coordsize="21600,21600" o:spt="202" path="m,l,21600r21600,l21600,xe">
          <v:stroke joinstyle="miter"/>
          <v:path gradientshapeok="t" o:connecttype="rect"/>
        </v:shapetype>
        <v:shape id="_x0000_s2050" type="#_x0000_t202" alt="" style="position:absolute;margin-left:564.6pt;margin-top:35.85pt;width:8.45pt;height:10.95pt;z-index:-16672;mso-wrap-style:square;mso-wrap-edited:f;mso-width-percent:0;mso-height-percent:0;mso-position-horizontal-relative:page;mso-position-vertical-relative:page;mso-width-percent:0;mso-height-percent:0;v-text-anchor:top" filled="f" stroked="f">
          <v:textbox inset="0,0,0,0">
            <w:txbxContent>
              <w:p w14:paraId="3F30F24E" w14:textId="77777777" w:rsidR="00E35672" w:rsidRDefault="003125F6">
                <w:pPr>
                  <w:spacing w:before="14"/>
                  <w:ind w:left="40"/>
                  <w:rPr>
                    <w:sz w:val="16"/>
                  </w:rPr>
                </w:pPr>
                <w:r>
                  <w:rPr>
                    <w:lang w:bidi="es-ES"/>
                  </w:rPr>
                  <w:fldChar w:fldCharType="begin"/>
                </w:r>
                <w:r>
                  <w:rPr>
                    <w:color w:val="808285"/>
                    <w:sz w:val="16"/>
                    <w:lang w:bidi="es-ES"/>
                  </w:rPr>
                  <w:instrText xml:space="preserve"> PAGE </w:instrText>
                </w:r>
                <w:r>
                  <w:rPr>
                    <w:lang w:bidi="es-ES"/>
                  </w:rPr>
                  <w:fldChar w:fldCharType="separate"/>
                </w:r>
                <w:r>
                  <w:rPr>
                    <w:lang w:bidi="es-ES"/>
                  </w:rPr>
                  <w:t>2</w:t>
                </w:r>
                <w:r>
                  <w:rPr>
                    <w:lang w:bidi="es-ES"/>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B770" w14:textId="77777777" w:rsidR="00E35672" w:rsidRDefault="00E35672">
    <w:pPr>
      <w:pStyle w:val="Textoindependiente"/>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6069A" w14:textId="77777777" w:rsidR="00E35672" w:rsidRDefault="00960D53">
    <w:pPr>
      <w:pStyle w:val="Textoindependiente"/>
      <w:spacing w:line="14" w:lineRule="auto"/>
    </w:pPr>
    <w:r>
      <w:rPr>
        <w:lang w:bidi="es-ES"/>
      </w:rPr>
      <w:pict w14:anchorId="7F64A459">
        <v:shapetype id="_x0000_t202" coordsize="21600,21600" o:spt="202" path="m,l,21600r21600,l21600,xe">
          <v:stroke joinstyle="miter"/>
          <v:path gradientshapeok="t" o:connecttype="rect"/>
        </v:shapetype>
        <v:shape id="_x0000_s2049" type="#_x0000_t202" alt="" style="position:absolute;margin-left:751.6pt;margin-top:28.75pt;width:12.9pt;height:10.95pt;z-index:-16648;mso-wrap-style:square;mso-wrap-edited:f;mso-width-percent:0;mso-height-percent:0;mso-position-horizontal-relative:page;mso-position-vertical-relative:page;mso-width-percent:0;mso-height-percent:0;v-text-anchor:top" filled="f" stroked="f">
          <v:textbox inset="0,0,0,0">
            <w:txbxContent>
              <w:p w14:paraId="647DC06F" w14:textId="77777777" w:rsidR="00E35672" w:rsidRDefault="003125F6">
                <w:pPr>
                  <w:spacing w:before="14"/>
                  <w:ind w:left="40"/>
                  <w:rPr>
                    <w:sz w:val="16"/>
                  </w:rPr>
                </w:pPr>
                <w:r>
                  <w:rPr>
                    <w:lang w:bidi="es-ES"/>
                  </w:rPr>
                  <w:fldChar w:fldCharType="begin"/>
                </w:r>
                <w:r>
                  <w:rPr>
                    <w:color w:val="808285"/>
                    <w:sz w:val="16"/>
                    <w:lang w:bidi="es-ES"/>
                  </w:rPr>
                  <w:instrText xml:space="preserve"> PAGE </w:instrText>
                </w:r>
                <w:r>
                  <w:rPr>
                    <w:lang w:bidi="es-ES"/>
                  </w:rPr>
                  <w:fldChar w:fldCharType="separate"/>
                </w:r>
                <w:r>
                  <w:rPr>
                    <w:lang w:bidi="es-ES"/>
                  </w:rPr>
                  <w:t>10</w:t>
                </w:r>
                <w:r>
                  <w:rPr>
                    <w:lang w:bidi="es-ES"/>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6805"/>
    <w:multiLevelType w:val="hybridMultilevel"/>
    <w:tmpl w:val="AA0C1CF2"/>
    <w:lvl w:ilvl="0" w:tplc="B16AE0FE">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21E49C78">
      <w:numFmt w:val="bullet"/>
      <w:lvlText w:val="•"/>
      <w:lvlJc w:val="left"/>
      <w:pPr>
        <w:ind w:left="1323" w:hanging="567"/>
      </w:pPr>
      <w:rPr>
        <w:rFonts w:hint="default"/>
        <w:lang w:val="en-US" w:eastAsia="en-US" w:bidi="en-US"/>
      </w:rPr>
    </w:lvl>
    <w:lvl w:ilvl="2" w:tplc="2822042A">
      <w:numFmt w:val="bullet"/>
      <w:lvlText w:val="•"/>
      <w:lvlJc w:val="left"/>
      <w:pPr>
        <w:ind w:left="1966" w:hanging="567"/>
      </w:pPr>
      <w:rPr>
        <w:rFonts w:hint="default"/>
        <w:lang w:val="en-US" w:eastAsia="en-US" w:bidi="en-US"/>
      </w:rPr>
    </w:lvl>
    <w:lvl w:ilvl="3" w:tplc="02E0A89C">
      <w:numFmt w:val="bullet"/>
      <w:lvlText w:val="•"/>
      <w:lvlJc w:val="left"/>
      <w:pPr>
        <w:ind w:left="2609" w:hanging="567"/>
      </w:pPr>
      <w:rPr>
        <w:rFonts w:hint="default"/>
        <w:lang w:val="en-US" w:eastAsia="en-US" w:bidi="en-US"/>
      </w:rPr>
    </w:lvl>
    <w:lvl w:ilvl="4" w:tplc="091257E8">
      <w:numFmt w:val="bullet"/>
      <w:lvlText w:val="•"/>
      <w:lvlJc w:val="left"/>
      <w:pPr>
        <w:ind w:left="3252" w:hanging="567"/>
      </w:pPr>
      <w:rPr>
        <w:rFonts w:hint="default"/>
        <w:lang w:val="en-US" w:eastAsia="en-US" w:bidi="en-US"/>
      </w:rPr>
    </w:lvl>
    <w:lvl w:ilvl="5" w:tplc="BF34D9EC">
      <w:numFmt w:val="bullet"/>
      <w:lvlText w:val="•"/>
      <w:lvlJc w:val="left"/>
      <w:pPr>
        <w:ind w:left="3895" w:hanging="567"/>
      </w:pPr>
      <w:rPr>
        <w:rFonts w:hint="default"/>
        <w:lang w:val="en-US" w:eastAsia="en-US" w:bidi="en-US"/>
      </w:rPr>
    </w:lvl>
    <w:lvl w:ilvl="6" w:tplc="F55ED780">
      <w:numFmt w:val="bullet"/>
      <w:lvlText w:val="•"/>
      <w:lvlJc w:val="left"/>
      <w:pPr>
        <w:ind w:left="4538" w:hanging="567"/>
      </w:pPr>
      <w:rPr>
        <w:rFonts w:hint="default"/>
        <w:lang w:val="en-US" w:eastAsia="en-US" w:bidi="en-US"/>
      </w:rPr>
    </w:lvl>
    <w:lvl w:ilvl="7" w:tplc="D9AAEE42">
      <w:numFmt w:val="bullet"/>
      <w:lvlText w:val="•"/>
      <w:lvlJc w:val="left"/>
      <w:pPr>
        <w:ind w:left="5181" w:hanging="567"/>
      </w:pPr>
      <w:rPr>
        <w:rFonts w:hint="default"/>
        <w:lang w:val="en-US" w:eastAsia="en-US" w:bidi="en-US"/>
      </w:rPr>
    </w:lvl>
    <w:lvl w:ilvl="8" w:tplc="00B46368">
      <w:numFmt w:val="bullet"/>
      <w:lvlText w:val="•"/>
      <w:lvlJc w:val="left"/>
      <w:pPr>
        <w:ind w:left="5824" w:hanging="567"/>
      </w:pPr>
      <w:rPr>
        <w:rFonts w:hint="default"/>
        <w:lang w:val="en-US" w:eastAsia="en-US" w:bidi="en-US"/>
      </w:rPr>
    </w:lvl>
  </w:abstractNum>
  <w:abstractNum w:abstractNumId="1" w15:restartNumberingAfterBreak="0">
    <w:nsid w:val="07AD2BF9"/>
    <w:multiLevelType w:val="hybridMultilevel"/>
    <w:tmpl w:val="6B38DA14"/>
    <w:lvl w:ilvl="0" w:tplc="C204A87E">
      <w:start w:val="1"/>
      <w:numFmt w:val="lowerLetter"/>
      <w:lvlText w:val="%1."/>
      <w:lvlJc w:val="left"/>
      <w:pPr>
        <w:ind w:left="678" w:hanging="567"/>
      </w:pPr>
      <w:rPr>
        <w:rFonts w:ascii="Arial" w:eastAsia="Arial" w:hAnsi="Arial" w:cs="Arial" w:hint="default"/>
        <w:b/>
        <w:bCs/>
        <w:color w:val="57585B"/>
        <w:spacing w:val="-24"/>
        <w:w w:val="100"/>
        <w:sz w:val="18"/>
        <w:szCs w:val="18"/>
        <w:lang w:val="en-US" w:eastAsia="en-US" w:bidi="en-US"/>
      </w:rPr>
    </w:lvl>
    <w:lvl w:ilvl="1" w:tplc="63506796">
      <w:numFmt w:val="bullet"/>
      <w:lvlText w:val="•"/>
      <w:lvlJc w:val="left"/>
      <w:pPr>
        <w:ind w:left="1323" w:hanging="567"/>
      </w:pPr>
      <w:rPr>
        <w:rFonts w:hint="default"/>
        <w:lang w:val="en-US" w:eastAsia="en-US" w:bidi="en-US"/>
      </w:rPr>
    </w:lvl>
    <w:lvl w:ilvl="2" w:tplc="6D42ECA6">
      <w:numFmt w:val="bullet"/>
      <w:lvlText w:val="•"/>
      <w:lvlJc w:val="left"/>
      <w:pPr>
        <w:ind w:left="1966" w:hanging="567"/>
      </w:pPr>
      <w:rPr>
        <w:rFonts w:hint="default"/>
        <w:lang w:val="en-US" w:eastAsia="en-US" w:bidi="en-US"/>
      </w:rPr>
    </w:lvl>
    <w:lvl w:ilvl="3" w:tplc="6160258C">
      <w:numFmt w:val="bullet"/>
      <w:lvlText w:val="•"/>
      <w:lvlJc w:val="left"/>
      <w:pPr>
        <w:ind w:left="2609" w:hanging="567"/>
      </w:pPr>
      <w:rPr>
        <w:rFonts w:hint="default"/>
        <w:lang w:val="en-US" w:eastAsia="en-US" w:bidi="en-US"/>
      </w:rPr>
    </w:lvl>
    <w:lvl w:ilvl="4" w:tplc="B3ECE370">
      <w:numFmt w:val="bullet"/>
      <w:lvlText w:val="•"/>
      <w:lvlJc w:val="left"/>
      <w:pPr>
        <w:ind w:left="3252" w:hanging="567"/>
      </w:pPr>
      <w:rPr>
        <w:rFonts w:hint="default"/>
        <w:lang w:val="en-US" w:eastAsia="en-US" w:bidi="en-US"/>
      </w:rPr>
    </w:lvl>
    <w:lvl w:ilvl="5" w:tplc="EC0873E6">
      <w:numFmt w:val="bullet"/>
      <w:lvlText w:val="•"/>
      <w:lvlJc w:val="left"/>
      <w:pPr>
        <w:ind w:left="3895" w:hanging="567"/>
      </w:pPr>
      <w:rPr>
        <w:rFonts w:hint="default"/>
        <w:lang w:val="en-US" w:eastAsia="en-US" w:bidi="en-US"/>
      </w:rPr>
    </w:lvl>
    <w:lvl w:ilvl="6" w:tplc="D6622EDC">
      <w:numFmt w:val="bullet"/>
      <w:lvlText w:val="•"/>
      <w:lvlJc w:val="left"/>
      <w:pPr>
        <w:ind w:left="4538" w:hanging="567"/>
      </w:pPr>
      <w:rPr>
        <w:rFonts w:hint="default"/>
        <w:lang w:val="en-US" w:eastAsia="en-US" w:bidi="en-US"/>
      </w:rPr>
    </w:lvl>
    <w:lvl w:ilvl="7" w:tplc="3146D2C4">
      <w:numFmt w:val="bullet"/>
      <w:lvlText w:val="•"/>
      <w:lvlJc w:val="left"/>
      <w:pPr>
        <w:ind w:left="5181" w:hanging="567"/>
      </w:pPr>
      <w:rPr>
        <w:rFonts w:hint="default"/>
        <w:lang w:val="en-US" w:eastAsia="en-US" w:bidi="en-US"/>
      </w:rPr>
    </w:lvl>
    <w:lvl w:ilvl="8" w:tplc="5BAC6100">
      <w:numFmt w:val="bullet"/>
      <w:lvlText w:val="•"/>
      <w:lvlJc w:val="left"/>
      <w:pPr>
        <w:ind w:left="5824" w:hanging="567"/>
      </w:pPr>
      <w:rPr>
        <w:rFonts w:hint="default"/>
        <w:lang w:val="en-US" w:eastAsia="en-US" w:bidi="en-US"/>
      </w:rPr>
    </w:lvl>
  </w:abstractNum>
  <w:abstractNum w:abstractNumId="2" w15:restartNumberingAfterBreak="0">
    <w:nsid w:val="0C8D2D63"/>
    <w:multiLevelType w:val="hybridMultilevel"/>
    <w:tmpl w:val="275C735A"/>
    <w:lvl w:ilvl="0" w:tplc="B4B8915C">
      <w:start w:val="1"/>
      <w:numFmt w:val="lowerLetter"/>
      <w:lvlText w:val="%1)"/>
      <w:lvlJc w:val="left"/>
      <w:pPr>
        <w:ind w:left="113" w:hanging="323"/>
      </w:pPr>
      <w:rPr>
        <w:rFonts w:ascii="Arial" w:eastAsia="Arial" w:hAnsi="Arial" w:cs="Arial" w:hint="default"/>
        <w:b/>
        <w:bCs/>
        <w:color w:val="913592"/>
        <w:spacing w:val="0"/>
        <w:w w:val="100"/>
        <w:sz w:val="20"/>
        <w:szCs w:val="20"/>
        <w:lang w:val="es-ES" w:eastAsia="en-US" w:bidi="en-US"/>
      </w:rPr>
    </w:lvl>
    <w:lvl w:ilvl="1" w:tplc="AF365BEE">
      <w:numFmt w:val="bullet"/>
      <w:lvlText w:val="•"/>
      <w:lvlJc w:val="left"/>
      <w:pPr>
        <w:ind w:left="1128" w:hanging="323"/>
      </w:pPr>
      <w:rPr>
        <w:rFonts w:hint="default"/>
        <w:lang w:val="en-US" w:eastAsia="en-US" w:bidi="en-US"/>
      </w:rPr>
    </w:lvl>
    <w:lvl w:ilvl="2" w:tplc="1E889162">
      <w:numFmt w:val="bullet"/>
      <w:lvlText w:val="•"/>
      <w:lvlJc w:val="left"/>
      <w:pPr>
        <w:ind w:left="2136" w:hanging="323"/>
      </w:pPr>
      <w:rPr>
        <w:rFonts w:hint="default"/>
        <w:lang w:val="en-US" w:eastAsia="en-US" w:bidi="en-US"/>
      </w:rPr>
    </w:lvl>
    <w:lvl w:ilvl="3" w:tplc="DE06178A">
      <w:numFmt w:val="bullet"/>
      <w:lvlText w:val="•"/>
      <w:lvlJc w:val="left"/>
      <w:pPr>
        <w:ind w:left="3144" w:hanging="323"/>
      </w:pPr>
      <w:rPr>
        <w:rFonts w:hint="default"/>
        <w:lang w:val="en-US" w:eastAsia="en-US" w:bidi="en-US"/>
      </w:rPr>
    </w:lvl>
    <w:lvl w:ilvl="4" w:tplc="6F1CEB22">
      <w:numFmt w:val="bullet"/>
      <w:lvlText w:val="•"/>
      <w:lvlJc w:val="left"/>
      <w:pPr>
        <w:ind w:left="4152" w:hanging="323"/>
      </w:pPr>
      <w:rPr>
        <w:rFonts w:hint="default"/>
        <w:lang w:val="en-US" w:eastAsia="en-US" w:bidi="en-US"/>
      </w:rPr>
    </w:lvl>
    <w:lvl w:ilvl="5" w:tplc="2B06055E">
      <w:numFmt w:val="bullet"/>
      <w:lvlText w:val="•"/>
      <w:lvlJc w:val="left"/>
      <w:pPr>
        <w:ind w:left="5160" w:hanging="323"/>
      </w:pPr>
      <w:rPr>
        <w:rFonts w:hint="default"/>
        <w:lang w:val="en-US" w:eastAsia="en-US" w:bidi="en-US"/>
      </w:rPr>
    </w:lvl>
    <w:lvl w:ilvl="6" w:tplc="589CD4E0">
      <w:numFmt w:val="bullet"/>
      <w:lvlText w:val="•"/>
      <w:lvlJc w:val="left"/>
      <w:pPr>
        <w:ind w:left="6168" w:hanging="323"/>
      </w:pPr>
      <w:rPr>
        <w:rFonts w:hint="default"/>
        <w:lang w:val="en-US" w:eastAsia="en-US" w:bidi="en-US"/>
      </w:rPr>
    </w:lvl>
    <w:lvl w:ilvl="7" w:tplc="55703F2A">
      <w:numFmt w:val="bullet"/>
      <w:lvlText w:val="•"/>
      <w:lvlJc w:val="left"/>
      <w:pPr>
        <w:ind w:left="7176" w:hanging="323"/>
      </w:pPr>
      <w:rPr>
        <w:rFonts w:hint="default"/>
        <w:lang w:val="en-US" w:eastAsia="en-US" w:bidi="en-US"/>
      </w:rPr>
    </w:lvl>
    <w:lvl w:ilvl="8" w:tplc="8070C43E">
      <w:numFmt w:val="bullet"/>
      <w:lvlText w:val="•"/>
      <w:lvlJc w:val="left"/>
      <w:pPr>
        <w:ind w:left="8184" w:hanging="323"/>
      </w:pPr>
      <w:rPr>
        <w:rFonts w:hint="default"/>
        <w:lang w:val="en-US" w:eastAsia="en-US" w:bidi="en-US"/>
      </w:rPr>
    </w:lvl>
  </w:abstractNum>
  <w:abstractNum w:abstractNumId="3" w15:restartNumberingAfterBreak="0">
    <w:nsid w:val="0EB56C11"/>
    <w:multiLevelType w:val="hybridMultilevel"/>
    <w:tmpl w:val="20409D06"/>
    <w:lvl w:ilvl="0" w:tplc="8AF2D992">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37041BFA">
      <w:numFmt w:val="bullet"/>
      <w:lvlText w:val="•"/>
      <w:lvlJc w:val="left"/>
      <w:pPr>
        <w:ind w:left="1323" w:hanging="567"/>
      </w:pPr>
      <w:rPr>
        <w:rFonts w:hint="default"/>
        <w:lang w:val="en-US" w:eastAsia="en-US" w:bidi="en-US"/>
      </w:rPr>
    </w:lvl>
    <w:lvl w:ilvl="2" w:tplc="B2EEDB46">
      <w:numFmt w:val="bullet"/>
      <w:lvlText w:val="•"/>
      <w:lvlJc w:val="left"/>
      <w:pPr>
        <w:ind w:left="1966" w:hanging="567"/>
      </w:pPr>
      <w:rPr>
        <w:rFonts w:hint="default"/>
        <w:lang w:val="en-US" w:eastAsia="en-US" w:bidi="en-US"/>
      </w:rPr>
    </w:lvl>
    <w:lvl w:ilvl="3" w:tplc="C41CF794">
      <w:numFmt w:val="bullet"/>
      <w:lvlText w:val="•"/>
      <w:lvlJc w:val="left"/>
      <w:pPr>
        <w:ind w:left="2609" w:hanging="567"/>
      </w:pPr>
      <w:rPr>
        <w:rFonts w:hint="default"/>
        <w:lang w:val="en-US" w:eastAsia="en-US" w:bidi="en-US"/>
      </w:rPr>
    </w:lvl>
    <w:lvl w:ilvl="4" w:tplc="97BC7212">
      <w:numFmt w:val="bullet"/>
      <w:lvlText w:val="•"/>
      <w:lvlJc w:val="left"/>
      <w:pPr>
        <w:ind w:left="3252" w:hanging="567"/>
      </w:pPr>
      <w:rPr>
        <w:rFonts w:hint="default"/>
        <w:lang w:val="en-US" w:eastAsia="en-US" w:bidi="en-US"/>
      </w:rPr>
    </w:lvl>
    <w:lvl w:ilvl="5" w:tplc="86CEFEB0">
      <w:numFmt w:val="bullet"/>
      <w:lvlText w:val="•"/>
      <w:lvlJc w:val="left"/>
      <w:pPr>
        <w:ind w:left="3895" w:hanging="567"/>
      </w:pPr>
      <w:rPr>
        <w:rFonts w:hint="default"/>
        <w:lang w:val="en-US" w:eastAsia="en-US" w:bidi="en-US"/>
      </w:rPr>
    </w:lvl>
    <w:lvl w:ilvl="6" w:tplc="4934ABF6">
      <w:numFmt w:val="bullet"/>
      <w:lvlText w:val="•"/>
      <w:lvlJc w:val="left"/>
      <w:pPr>
        <w:ind w:left="4538" w:hanging="567"/>
      </w:pPr>
      <w:rPr>
        <w:rFonts w:hint="default"/>
        <w:lang w:val="en-US" w:eastAsia="en-US" w:bidi="en-US"/>
      </w:rPr>
    </w:lvl>
    <w:lvl w:ilvl="7" w:tplc="6FEC51B6">
      <w:numFmt w:val="bullet"/>
      <w:lvlText w:val="•"/>
      <w:lvlJc w:val="left"/>
      <w:pPr>
        <w:ind w:left="5181" w:hanging="567"/>
      </w:pPr>
      <w:rPr>
        <w:rFonts w:hint="default"/>
        <w:lang w:val="en-US" w:eastAsia="en-US" w:bidi="en-US"/>
      </w:rPr>
    </w:lvl>
    <w:lvl w:ilvl="8" w:tplc="1B6E8A10">
      <w:numFmt w:val="bullet"/>
      <w:lvlText w:val="•"/>
      <w:lvlJc w:val="left"/>
      <w:pPr>
        <w:ind w:left="5824" w:hanging="567"/>
      </w:pPr>
      <w:rPr>
        <w:rFonts w:hint="default"/>
        <w:lang w:val="en-US" w:eastAsia="en-US" w:bidi="en-US"/>
      </w:rPr>
    </w:lvl>
  </w:abstractNum>
  <w:abstractNum w:abstractNumId="4" w15:restartNumberingAfterBreak="0">
    <w:nsid w:val="115651A2"/>
    <w:multiLevelType w:val="hybridMultilevel"/>
    <w:tmpl w:val="0578205E"/>
    <w:lvl w:ilvl="0" w:tplc="3FC02438">
      <w:start w:val="1"/>
      <w:numFmt w:val="decimal"/>
      <w:lvlText w:val="%1."/>
      <w:lvlJc w:val="left"/>
      <w:pPr>
        <w:ind w:left="471" w:hanging="360"/>
      </w:pPr>
      <w:rPr>
        <w:rFonts w:ascii="Arial" w:eastAsia="Arial" w:hAnsi="Arial" w:cs="Arial" w:hint="default"/>
        <w:color w:val="57585B"/>
        <w:spacing w:val="-15"/>
        <w:w w:val="100"/>
        <w:sz w:val="18"/>
        <w:szCs w:val="18"/>
        <w:lang w:val="en-US" w:eastAsia="en-US" w:bidi="en-US"/>
      </w:rPr>
    </w:lvl>
    <w:lvl w:ilvl="1" w:tplc="EE105A5A">
      <w:numFmt w:val="bullet"/>
      <w:lvlText w:val="•"/>
      <w:lvlJc w:val="left"/>
      <w:pPr>
        <w:ind w:left="1143" w:hanging="360"/>
      </w:pPr>
      <w:rPr>
        <w:rFonts w:hint="default"/>
        <w:lang w:val="en-US" w:eastAsia="en-US" w:bidi="en-US"/>
      </w:rPr>
    </w:lvl>
    <w:lvl w:ilvl="2" w:tplc="C11C0A3C">
      <w:numFmt w:val="bullet"/>
      <w:lvlText w:val="•"/>
      <w:lvlJc w:val="left"/>
      <w:pPr>
        <w:ind w:left="1806" w:hanging="360"/>
      </w:pPr>
      <w:rPr>
        <w:rFonts w:hint="default"/>
        <w:lang w:val="en-US" w:eastAsia="en-US" w:bidi="en-US"/>
      </w:rPr>
    </w:lvl>
    <w:lvl w:ilvl="3" w:tplc="104A5374">
      <w:numFmt w:val="bullet"/>
      <w:lvlText w:val="•"/>
      <w:lvlJc w:val="left"/>
      <w:pPr>
        <w:ind w:left="2469" w:hanging="360"/>
      </w:pPr>
      <w:rPr>
        <w:rFonts w:hint="default"/>
        <w:lang w:val="en-US" w:eastAsia="en-US" w:bidi="en-US"/>
      </w:rPr>
    </w:lvl>
    <w:lvl w:ilvl="4" w:tplc="E9506A14">
      <w:numFmt w:val="bullet"/>
      <w:lvlText w:val="•"/>
      <w:lvlJc w:val="left"/>
      <w:pPr>
        <w:ind w:left="3132" w:hanging="360"/>
      </w:pPr>
      <w:rPr>
        <w:rFonts w:hint="default"/>
        <w:lang w:val="en-US" w:eastAsia="en-US" w:bidi="en-US"/>
      </w:rPr>
    </w:lvl>
    <w:lvl w:ilvl="5" w:tplc="F83CB496">
      <w:numFmt w:val="bullet"/>
      <w:lvlText w:val="•"/>
      <w:lvlJc w:val="left"/>
      <w:pPr>
        <w:ind w:left="3795" w:hanging="360"/>
      </w:pPr>
      <w:rPr>
        <w:rFonts w:hint="default"/>
        <w:lang w:val="en-US" w:eastAsia="en-US" w:bidi="en-US"/>
      </w:rPr>
    </w:lvl>
    <w:lvl w:ilvl="6" w:tplc="5366F1F8">
      <w:numFmt w:val="bullet"/>
      <w:lvlText w:val="•"/>
      <w:lvlJc w:val="left"/>
      <w:pPr>
        <w:ind w:left="4458" w:hanging="360"/>
      </w:pPr>
      <w:rPr>
        <w:rFonts w:hint="default"/>
        <w:lang w:val="en-US" w:eastAsia="en-US" w:bidi="en-US"/>
      </w:rPr>
    </w:lvl>
    <w:lvl w:ilvl="7" w:tplc="6A501DDC">
      <w:numFmt w:val="bullet"/>
      <w:lvlText w:val="•"/>
      <w:lvlJc w:val="left"/>
      <w:pPr>
        <w:ind w:left="5121" w:hanging="360"/>
      </w:pPr>
      <w:rPr>
        <w:rFonts w:hint="default"/>
        <w:lang w:val="en-US" w:eastAsia="en-US" w:bidi="en-US"/>
      </w:rPr>
    </w:lvl>
    <w:lvl w:ilvl="8" w:tplc="C5D2AFE8">
      <w:numFmt w:val="bullet"/>
      <w:lvlText w:val="•"/>
      <w:lvlJc w:val="left"/>
      <w:pPr>
        <w:ind w:left="5784" w:hanging="360"/>
      </w:pPr>
      <w:rPr>
        <w:rFonts w:hint="default"/>
        <w:lang w:val="en-US" w:eastAsia="en-US" w:bidi="en-US"/>
      </w:rPr>
    </w:lvl>
  </w:abstractNum>
  <w:abstractNum w:abstractNumId="5" w15:restartNumberingAfterBreak="0">
    <w:nsid w:val="1BA0790B"/>
    <w:multiLevelType w:val="hybridMultilevel"/>
    <w:tmpl w:val="E4CE3FA8"/>
    <w:lvl w:ilvl="0" w:tplc="676C3550">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90F444D4">
      <w:numFmt w:val="bullet"/>
      <w:lvlText w:val="•"/>
      <w:lvlJc w:val="left"/>
      <w:pPr>
        <w:ind w:left="1026" w:hanging="284"/>
      </w:pPr>
      <w:rPr>
        <w:rFonts w:hint="default"/>
        <w:lang w:val="en-US" w:eastAsia="en-US" w:bidi="en-US"/>
      </w:rPr>
    </w:lvl>
    <w:lvl w:ilvl="2" w:tplc="D80827AA">
      <w:numFmt w:val="bullet"/>
      <w:lvlText w:val="•"/>
      <w:lvlJc w:val="left"/>
      <w:pPr>
        <w:ind w:left="1652" w:hanging="284"/>
      </w:pPr>
      <w:rPr>
        <w:rFonts w:hint="default"/>
        <w:lang w:val="en-US" w:eastAsia="en-US" w:bidi="en-US"/>
      </w:rPr>
    </w:lvl>
    <w:lvl w:ilvl="3" w:tplc="267E169E">
      <w:numFmt w:val="bullet"/>
      <w:lvlText w:val="•"/>
      <w:lvlJc w:val="left"/>
      <w:pPr>
        <w:ind w:left="2278" w:hanging="284"/>
      </w:pPr>
      <w:rPr>
        <w:rFonts w:hint="default"/>
        <w:lang w:val="en-US" w:eastAsia="en-US" w:bidi="en-US"/>
      </w:rPr>
    </w:lvl>
    <w:lvl w:ilvl="4" w:tplc="13CE0540">
      <w:numFmt w:val="bullet"/>
      <w:lvlText w:val="•"/>
      <w:lvlJc w:val="left"/>
      <w:pPr>
        <w:ind w:left="2904" w:hanging="284"/>
      </w:pPr>
      <w:rPr>
        <w:rFonts w:hint="default"/>
        <w:lang w:val="en-US" w:eastAsia="en-US" w:bidi="en-US"/>
      </w:rPr>
    </w:lvl>
    <w:lvl w:ilvl="5" w:tplc="E8B87E86">
      <w:numFmt w:val="bullet"/>
      <w:lvlText w:val="•"/>
      <w:lvlJc w:val="left"/>
      <w:pPr>
        <w:ind w:left="3530" w:hanging="284"/>
      </w:pPr>
      <w:rPr>
        <w:rFonts w:hint="default"/>
        <w:lang w:val="en-US" w:eastAsia="en-US" w:bidi="en-US"/>
      </w:rPr>
    </w:lvl>
    <w:lvl w:ilvl="6" w:tplc="7C0EAFEA">
      <w:numFmt w:val="bullet"/>
      <w:lvlText w:val="•"/>
      <w:lvlJc w:val="left"/>
      <w:pPr>
        <w:ind w:left="4156" w:hanging="284"/>
      </w:pPr>
      <w:rPr>
        <w:rFonts w:hint="default"/>
        <w:lang w:val="en-US" w:eastAsia="en-US" w:bidi="en-US"/>
      </w:rPr>
    </w:lvl>
    <w:lvl w:ilvl="7" w:tplc="3F005666">
      <w:numFmt w:val="bullet"/>
      <w:lvlText w:val="•"/>
      <w:lvlJc w:val="left"/>
      <w:pPr>
        <w:ind w:left="4782" w:hanging="284"/>
      </w:pPr>
      <w:rPr>
        <w:rFonts w:hint="default"/>
        <w:lang w:val="en-US" w:eastAsia="en-US" w:bidi="en-US"/>
      </w:rPr>
    </w:lvl>
    <w:lvl w:ilvl="8" w:tplc="F52EA74C">
      <w:numFmt w:val="bullet"/>
      <w:lvlText w:val="•"/>
      <w:lvlJc w:val="left"/>
      <w:pPr>
        <w:ind w:left="5408" w:hanging="284"/>
      </w:pPr>
      <w:rPr>
        <w:rFonts w:hint="default"/>
        <w:lang w:val="en-US" w:eastAsia="en-US" w:bidi="en-US"/>
      </w:rPr>
    </w:lvl>
  </w:abstractNum>
  <w:abstractNum w:abstractNumId="6" w15:restartNumberingAfterBreak="0">
    <w:nsid w:val="1E3F11A6"/>
    <w:multiLevelType w:val="hybridMultilevel"/>
    <w:tmpl w:val="A2C29694"/>
    <w:lvl w:ilvl="0" w:tplc="364C4BAA">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1B8E62F6">
      <w:numFmt w:val="bullet"/>
      <w:lvlText w:val="•"/>
      <w:lvlJc w:val="left"/>
      <w:pPr>
        <w:ind w:left="1026" w:hanging="284"/>
      </w:pPr>
      <w:rPr>
        <w:rFonts w:hint="default"/>
        <w:lang w:val="en-US" w:eastAsia="en-US" w:bidi="en-US"/>
      </w:rPr>
    </w:lvl>
    <w:lvl w:ilvl="2" w:tplc="E29875B0">
      <w:numFmt w:val="bullet"/>
      <w:lvlText w:val="•"/>
      <w:lvlJc w:val="left"/>
      <w:pPr>
        <w:ind w:left="1652" w:hanging="284"/>
      </w:pPr>
      <w:rPr>
        <w:rFonts w:hint="default"/>
        <w:lang w:val="en-US" w:eastAsia="en-US" w:bidi="en-US"/>
      </w:rPr>
    </w:lvl>
    <w:lvl w:ilvl="3" w:tplc="3B3CE61C">
      <w:numFmt w:val="bullet"/>
      <w:lvlText w:val="•"/>
      <w:lvlJc w:val="left"/>
      <w:pPr>
        <w:ind w:left="2278" w:hanging="284"/>
      </w:pPr>
      <w:rPr>
        <w:rFonts w:hint="default"/>
        <w:lang w:val="en-US" w:eastAsia="en-US" w:bidi="en-US"/>
      </w:rPr>
    </w:lvl>
    <w:lvl w:ilvl="4" w:tplc="47F05182">
      <w:numFmt w:val="bullet"/>
      <w:lvlText w:val="•"/>
      <w:lvlJc w:val="left"/>
      <w:pPr>
        <w:ind w:left="2904" w:hanging="284"/>
      </w:pPr>
      <w:rPr>
        <w:rFonts w:hint="default"/>
        <w:lang w:val="en-US" w:eastAsia="en-US" w:bidi="en-US"/>
      </w:rPr>
    </w:lvl>
    <w:lvl w:ilvl="5" w:tplc="6D1E8588">
      <w:numFmt w:val="bullet"/>
      <w:lvlText w:val="•"/>
      <w:lvlJc w:val="left"/>
      <w:pPr>
        <w:ind w:left="3530" w:hanging="284"/>
      </w:pPr>
      <w:rPr>
        <w:rFonts w:hint="default"/>
        <w:lang w:val="en-US" w:eastAsia="en-US" w:bidi="en-US"/>
      </w:rPr>
    </w:lvl>
    <w:lvl w:ilvl="6" w:tplc="3B0A685C">
      <w:numFmt w:val="bullet"/>
      <w:lvlText w:val="•"/>
      <w:lvlJc w:val="left"/>
      <w:pPr>
        <w:ind w:left="4156" w:hanging="284"/>
      </w:pPr>
      <w:rPr>
        <w:rFonts w:hint="default"/>
        <w:lang w:val="en-US" w:eastAsia="en-US" w:bidi="en-US"/>
      </w:rPr>
    </w:lvl>
    <w:lvl w:ilvl="7" w:tplc="050E3460">
      <w:numFmt w:val="bullet"/>
      <w:lvlText w:val="•"/>
      <w:lvlJc w:val="left"/>
      <w:pPr>
        <w:ind w:left="4782" w:hanging="284"/>
      </w:pPr>
      <w:rPr>
        <w:rFonts w:hint="default"/>
        <w:lang w:val="en-US" w:eastAsia="en-US" w:bidi="en-US"/>
      </w:rPr>
    </w:lvl>
    <w:lvl w:ilvl="8" w:tplc="D0F043B4">
      <w:numFmt w:val="bullet"/>
      <w:lvlText w:val="•"/>
      <w:lvlJc w:val="left"/>
      <w:pPr>
        <w:ind w:left="5408" w:hanging="284"/>
      </w:pPr>
      <w:rPr>
        <w:rFonts w:hint="default"/>
        <w:lang w:val="en-US" w:eastAsia="en-US" w:bidi="en-US"/>
      </w:rPr>
    </w:lvl>
  </w:abstractNum>
  <w:abstractNum w:abstractNumId="7" w15:restartNumberingAfterBreak="0">
    <w:nsid w:val="2306438E"/>
    <w:multiLevelType w:val="hybridMultilevel"/>
    <w:tmpl w:val="AB2A05A2"/>
    <w:lvl w:ilvl="0" w:tplc="040A0001">
      <w:start w:val="1"/>
      <w:numFmt w:val="bullet"/>
      <w:lvlText w:val=""/>
      <w:lvlJc w:val="left"/>
      <w:pPr>
        <w:ind w:left="831" w:hanging="360"/>
      </w:pPr>
      <w:rPr>
        <w:rFonts w:ascii="Symbol" w:hAnsi="Symbol" w:hint="default"/>
      </w:rPr>
    </w:lvl>
    <w:lvl w:ilvl="1" w:tplc="040A0003" w:tentative="1">
      <w:start w:val="1"/>
      <w:numFmt w:val="bullet"/>
      <w:lvlText w:val="o"/>
      <w:lvlJc w:val="left"/>
      <w:pPr>
        <w:ind w:left="1551" w:hanging="360"/>
      </w:pPr>
      <w:rPr>
        <w:rFonts w:ascii="Courier New" w:hAnsi="Courier New" w:cs="Courier New" w:hint="default"/>
      </w:rPr>
    </w:lvl>
    <w:lvl w:ilvl="2" w:tplc="040A0005" w:tentative="1">
      <w:start w:val="1"/>
      <w:numFmt w:val="bullet"/>
      <w:lvlText w:val=""/>
      <w:lvlJc w:val="left"/>
      <w:pPr>
        <w:ind w:left="2271" w:hanging="360"/>
      </w:pPr>
      <w:rPr>
        <w:rFonts w:ascii="Wingdings" w:hAnsi="Wingdings" w:hint="default"/>
      </w:rPr>
    </w:lvl>
    <w:lvl w:ilvl="3" w:tplc="040A0001" w:tentative="1">
      <w:start w:val="1"/>
      <w:numFmt w:val="bullet"/>
      <w:lvlText w:val=""/>
      <w:lvlJc w:val="left"/>
      <w:pPr>
        <w:ind w:left="2991" w:hanging="360"/>
      </w:pPr>
      <w:rPr>
        <w:rFonts w:ascii="Symbol" w:hAnsi="Symbol" w:hint="default"/>
      </w:rPr>
    </w:lvl>
    <w:lvl w:ilvl="4" w:tplc="040A0003" w:tentative="1">
      <w:start w:val="1"/>
      <w:numFmt w:val="bullet"/>
      <w:lvlText w:val="o"/>
      <w:lvlJc w:val="left"/>
      <w:pPr>
        <w:ind w:left="3711" w:hanging="360"/>
      </w:pPr>
      <w:rPr>
        <w:rFonts w:ascii="Courier New" w:hAnsi="Courier New" w:cs="Courier New" w:hint="default"/>
      </w:rPr>
    </w:lvl>
    <w:lvl w:ilvl="5" w:tplc="040A0005" w:tentative="1">
      <w:start w:val="1"/>
      <w:numFmt w:val="bullet"/>
      <w:lvlText w:val=""/>
      <w:lvlJc w:val="left"/>
      <w:pPr>
        <w:ind w:left="4431" w:hanging="360"/>
      </w:pPr>
      <w:rPr>
        <w:rFonts w:ascii="Wingdings" w:hAnsi="Wingdings" w:hint="default"/>
      </w:rPr>
    </w:lvl>
    <w:lvl w:ilvl="6" w:tplc="040A0001" w:tentative="1">
      <w:start w:val="1"/>
      <w:numFmt w:val="bullet"/>
      <w:lvlText w:val=""/>
      <w:lvlJc w:val="left"/>
      <w:pPr>
        <w:ind w:left="5151" w:hanging="360"/>
      </w:pPr>
      <w:rPr>
        <w:rFonts w:ascii="Symbol" w:hAnsi="Symbol" w:hint="default"/>
      </w:rPr>
    </w:lvl>
    <w:lvl w:ilvl="7" w:tplc="040A0003" w:tentative="1">
      <w:start w:val="1"/>
      <w:numFmt w:val="bullet"/>
      <w:lvlText w:val="o"/>
      <w:lvlJc w:val="left"/>
      <w:pPr>
        <w:ind w:left="5871" w:hanging="360"/>
      </w:pPr>
      <w:rPr>
        <w:rFonts w:ascii="Courier New" w:hAnsi="Courier New" w:cs="Courier New" w:hint="default"/>
      </w:rPr>
    </w:lvl>
    <w:lvl w:ilvl="8" w:tplc="040A0005" w:tentative="1">
      <w:start w:val="1"/>
      <w:numFmt w:val="bullet"/>
      <w:lvlText w:val=""/>
      <w:lvlJc w:val="left"/>
      <w:pPr>
        <w:ind w:left="6591" w:hanging="360"/>
      </w:pPr>
      <w:rPr>
        <w:rFonts w:ascii="Wingdings" w:hAnsi="Wingdings" w:hint="default"/>
      </w:rPr>
    </w:lvl>
  </w:abstractNum>
  <w:abstractNum w:abstractNumId="8" w15:restartNumberingAfterBreak="0">
    <w:nsid w:val="37FE4D7F"/>
    <w:multiLevelType w:val="hybridMultilevel"/>
    <w:tmpl w:val="736A3632"/>
    <w:lvl w:ilvl="0" w:tplc="7DDE478C">
      <w:numFmt w:val="bullet"/>
      <w:lvlText w:val="•"/>
      <w:lvlJc w:val="left"/>
      <w:pPr>
        <w:ind w:left="471" w:hanging="360"/>
      </w:pPr>
      <w:rPr>
        <w:rFonts w:ascii="Arial" w:eastAsia="Arial" w:hAnsi="Arial" w:cs="Arial" w:hint="default"/>
        <w:color w:val="57585B"/>
        <w:spacing w:val="-8"/>
        <w:w w:val="100"/>
        <w:sz w:val="18"/>
        <w:szCs w:val="18"/>
        <w:lang w:val="en-US" w:eastAsia="en-US" w:bidi="en-US"/>
      </w:rPr>
    </w:lvl>
    <w:lvl w:ilvl="1" w:tplc="2912E92A">
      <w:numFmt w:val="bullet"/>
      <w:lvlText w:val="•"/>
      <w:lvlJc w:val="left"/>
      <w:pPr>
        <w:ind w:left="1143" w:hanging="360"/>
      </w:pPr>
      <w:rPr>
        <w:rFonts w:hint="default"/>
        <w:lang w:val="en-US" w:eastAsia="en-US" w:bidi="en-US"/>
      </w:rPr>
    </w:lvl>
    <w:lvl w:ilvl="2" w:tplc="B406D628">
      <w:numFmt w:val="bullet"/>
      <w:lvlText w:val="•"/>
      <w:lvlJc w:val="left"/>
      <w:pPr>
        <w:ind w:left="1806" w:hanging="360"/>
      </w:pPr>
      <w:rPr>
        <w:rFonts w:hint="default"/>
        <w:lang w:val="en-US" w:eastAsia="en-US" w:bidi="en-US"/>
      </w:rPr>
    </w:lvl>
    <w:lvl w:ilvl="3" w:tplc="75AEF288">
      <w:numFmt w:val="bullet"/>
      <w:lvlText w:val="•"/>
      <w:lvlJc w:val="left"/>
      <w:pPr>
        <w:ind w:left="2469" w:hanging="360"/>
      </w:pPr>
      <w:rPr>
        <w:rFonts w:hint="default"/>
        <w:lang w:val="en-US" w:eastAsia="en-US" w:bidi="en-US"/>
      </w:rPr>
    </w:lvl>
    <w:lvl w:ilvl="4" w:tplc="F3AC9990">
      <w:numFmt w:val="bullet"/>
      <w:lvlText w:val="•"/>
      <w:lvlJc w:val="left"/>
      <w:pPr>
        <w:ind w:left="3132" w:hanging="360"/>
      </w:pPr>
      <w:rPr>
        <w:rFonts w:hint="default"/>
        <w:lang w:val="en-US" w:eastAsia="en-US" w:bidi="en-US"/>
      </w:rPr>
    </w:lvl>
    <w:lvl w:ilvl="5" w:tplc="9F7288D0">
      <w:numFmt w:val="bullet"/>
      <w:lvlText w:val="•"/>
      <w:lvlJc w:val="left"/>
      <w:pPr>
        <w:ind w:left="3795" w:hanging="360"/>
      </w:pPr>
      <w:rPr>
        <w:rFonts w:hint="default"/>
        <w:lang w:val="en-US" w:eastAsia="en-US" w:bidi="en-US"/>
      </w:rPr>
    </w:lvl>
    <w:lvl w:ilvl="6" w:tplc="1E5C3A0E">
      <w:numFmt w:val="bullet"/>
      <w:lvlText w:val="•"/>
      <w:lvlJc w:val="left"/>
      <w:pPr>
        <w:ind w:left="4458" w:hanging="360"/>
      </w:pPr>
      <w:rPr>
        <w:rFonts w:hint="default"/>
        <w:lang w:val="en-US" w:eastAsia="en-US" w:bidi="en-US"/>
      </w:rPr>
    </w:lvl>
    <w:lvl w:ilvl="7" w:tplc="8366854E">
      <w:numFmt w:val="bullet"/>
      <w:lvlText w:val="•"/>
      <w:lvlJc w:val="left"/>
      <w:pPr>
        <w:ind w:left="5121" w:hanging="360"/>
      </w:pPr>
      <w:rPr>
        <w:rFonts w:hint="default"/>
        <w:lang w:val="en-US" w:eastAsia="en-US" w:bidi="en-US"/>
      </w:rPr>
    </w:lvl>
    <w:lvl w:ilvl="8" w:tplc="828A5C9A">
      <w:numFmt w:val="bullet"/>
      <w:lvlText w:val="•"/>
      <w:lvlJc w:val="left"/>
      <w:pPr>
        <w:ind w:left="5784" w:hanging="360"/>
      </w:pPr>
      <w:rPr>
        <w:rFonts w:hint="default"/>
        <w:lang w:val="en-US" w:eastAsia="en-US" w:bidi="en-US"/>
      </w:rPr>
    </w:lvl>
  </w:abstractNum>
  <w:abstractNum w:abstractNumId="9" w15:restartNumberingAfterBreak="0">
    <w:nsid w:val="3CE01EB1"/>
    <w:multiLevelType w:val="hybridMultilevel"/>
    <w:tmpl w:val="587CF166"/>
    <w:lvl w:ilvl="0" w:tplc="7760FED2">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8B14F6B2">
      <w:numFmt w:val="bullet"/>
      <w:lvlText w:val="•"/>
      <w:lvlJc w:val="left"/>
      <w:pPr>
        <w:ind w:left="1026" w:hanging="284"/>
      </w:pPr>
      <w:rPr>
        <w:rFonts w:hint="default"/>
        <w:lang w:val="en-US" w:eastAsia="en-US" w:bidi="en-US"/>
      </w:rPr>
    </w:lvl>
    <w:lvl w:ilvl="2" w:tplc="C6E85366">
      <w:numFmt w:val="bullet"/>
      <w:lvlText w:val="•"/>
      <w:lvlJc w:val="left"/>
      <w:pPr>
        <w:ind w:left="1652" w:hanging="284"/>
      </w:pPr>
      <w:rPr>
        <w:rFonts w:hint="default"/>
        <w:lang w:val="en-US" w:eastAsia="en-US" w:bidi="en-US"/>
      </w:rPr>
    </w:lvl>
    <w:lvl w:ilvl="3" w:tplc="F2369528">
      <w:numFmt w:val="bullet"/>
      <w:lvlText w:val="•"/>
      <w:lvlJc w:val="left"/>
      <w:pPr>
        <w:ind w:left="2278" w:hanging="284"/>
      </w:pPr>
      <w:rPr>
        <w:rFonts w:hint="default"/>
        <w:lang w:val="en-US" w:eastAsia="en-US" w:bidi="en-US"/>
      </w:rPr>
    </w:lvl>
    <w:lvl w:ilvl="4" w:tplc="CE2E76DC">
      <w:numFmt w:val="bullet"/>
      <w:lvlText w:val="•"/>
      <w:lvlJc w:val="left"/>
      <w:pPr>
        <w:ind w:left="2904" w:hanging="284"/>
      </w:pPr>
      <w:rPr>
        <w:rFonts w:hint="default"/>
        <w:lang w:val="en-US" w:eastAsia="en-US" w:bidi="en-US"/>
      </w:rPr>
    </w:lvl>
    <w:lvl w:ilvl="5" w:tplc="44C47616">
      <w:numFmt w:val="bullet"/>
      <w:lvlText w:val="•"/>
      <w:lvlJc w:val="left"/>
      <w:pPr>
        <w:ind w:left="3530" w:hanging="284"/>
      </w:pPr>
      <w:rPr>
        <w:rFonts w:hint="default"/>
        <w:lang w:val="en-US" w:eastAsia="en-US" w:bidi="en-US"/>
      </w:rPr>
    </w:lvl>
    <w:lvl w:ilvl="6" w:tplc="95E84B1C">
      <w:numFmt w:val="bullet"/>
      <w:lvlText w:val="•"/>
      <w:lvlJc w:val="left"/>
      <w:pPr>
        <w:ind w:left="4156" w:hanging="284"/>
      </w:pPr>
      <w:rPr>
        <w:rFonts w:hint="default"/>
        <w:lang w:val="en-US" w:eastAsia="en-US" w:bidi="en-US"/>
      </w:rPr>
    </w:lvl>
    <w:lvl w:ilvl="7" w:tplc="D7DCD24C">
      <w:numFmt w:val="bullet"/>
      <w:lvlText w:val="•"/>
      <w:lvlJc w:val="left"/>
      <w:pPr>
        <w:ind w:left="4782" w:hanging="284"/>
      </w:pPr>
      <w:rPr>
        <w:rFonts w:hint="default"/>
        <w:lang w:val="en-US" w:eastAsia="en-US" w:bidi="en-US"/>
      </w:rPr>
    </w:lvl>
    <w:lvl w:ilvl="8" w:tplc="35067F76">
      <w:numFmt w:val="bullet"/>
      <w:lvlText w:val="•"/>
      <w:lvlJc w:val="left"/>
      <w:pPr>
        <w:ind w:left="5408" w:hanging="284"/>
      </w:pPr>
      <w:rPr>
        <w:rFonts w:hint="default"/>
        <w:lang w:val="en-US" w:eastAsia="en-US" w:bidi="en-US"/>
      </w:rPr>
    </w:lvl>
  </w:abstractNum>
  <w:abstractNum w:abstractNumId="10" w15:restartNumberingAfterBreak="0">
    <w:nsid w:val="45F63502"/>
    <w:multiLevelType w:val="hybridMultilevel"/>
    <w:tmpl w:val="7D8CF932"/>
    <w:lvl w:ilvl="0" w:tplc="7732270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8EA4B272">
      <w:numFmt w:val="bullet"/>
      <w:lvlText w:val="•"/>
      <w:lvlJc w:val="left"/>
      <w:pPr>
        <w:ind w:left="1026" w:hanging="284"/>
      </w:pPr>
      <w:rPr>
        <w:rFonts w:hint="default"/>
        <w:lang w:val="en-US" w:eastAsia="en-US" w:bidi="en-US"/>
      </w:rPr>
    </w:lvl>
    <w:lvl w:ilvl="2" w:tplc="72EC3ED8">
      <w:numFmt w:val="bullet"/>
      <w:lvlText w:val="•"/>
      <w:lvlJc w:val="left"/>
      <w:pPr>
        <w:ind w:left="1652" w:hanging="284"/>
      </w:pPr>
      <w:rPr>
        <w:rFonts w:hint="default"/>
        <w:lang w:val="en-US" w:eastAsia="en-US" w:bidi="en-US"/>
      </w:rPr>
    </w:lvl>
    <w:lvl w:ilvl="3" w:tplc="3550C132">
      <w:numFmt w:val="bullet"/>
      <w:lvlText w:val="•"/>
      <w:lvlJc w:val="left"/>
      <w:pPr>
        <w:ind w:left="2278" w:hanging="284"/>
      </w:pPr>
      <w:rPr>
        <w:rFonts w:hint="default"/>
        <w:lang w:val="en-US" w:eastAsia="en-US" w:bidi="en-US"/>
      </w:rPr>
    </w:lvl>
    <w:lvl w:ilvl="4" w:tplc="3E6E6594">
      <w:numFmt w:val="bullet"/>
      <w:lvlText w:val="•"/>
      <w:lvlJc w:val="left"/>
      <w:pPr>
        <w:ind w:left="2904" w:hanging="284"/>
      </w:pPr>
      <w:rPr>
        <w:rFonts w:hint="default"/>
        <w:lang w:val="en-US" w:eastAsia="en-US" w:bidi="en-US"/>
      </w:rPr>
    </w:lvl>
    <w:lvl w:ilvl="5" w:tplc="454E142A">
      <w:numFmt w:val="bullet"/>
      <w:lvlText w:val="•"/>
      <w:lvlJc w:val="left"/>
      <w:pPr>
        <w:ind w:left="3530" w:hanging="284"/>
      </w:pPr>
      <w:rPr>
        <w:rFonts w:hint="default"/>
        <w:lang w:val="en-US" w:eastAsia="en-US" w:bidi="en-US"/>
      </w:rPr>
    </w:lvl>
    <w:lvl w:ilvl="6" w:tplc="0BFC3532">
      <w:numFmt w:val="bullet"/>
      <w:lvlText w:val="•"/>
      <w:lvlJc w:val="left"/>
      <w:pPr>
        <w:ind w:left="4156" w:hanging="284"/>
      </w:pPr>
      <w:rPr>
        <w:rFonts w:hint="default"/>
        <w:lang w:val="en-US" w:eastAsia="en-US" w:bidi="en-US"/>
      </w:rPr>
    </w:lvl>
    <w:lvl w:ilvl="7" w:tplc="4BCEB02C">
      <w:numFmt w:val="bullet"/>
      <w:lvlText w:val="•"/>
      <w:lvlJc w:val="left"/>
      <w:pPr>
        <w:ind w:left="4782" w:hanging="284"/>
      </w:pPr>
      <w:rPr>
        <w:rFonts w:hint="default"/>
        <w:lang w:val="en-US" w:eastAsia="en-US" w:bidi="en-US"/>
      </w:rPr>
    </w:lvl>
    <w:lvl w:ilvl="8" w:tplc="22CC6EAA">
      <w:numFmt w:val="bullet"/>
      <w:lvlText w:val="•"/>
      <w:lvlJc w:val="left"/>
      <w:pPr>
        <w:ind w:left="5408" w:hanging="284"/>
      </w:pPr>
      <w:rPr>
        <w:rFonts w:hint="default"/>
        <w:lang w:val="en-US" w:eastAsia="en-US" w:bidi="en-US"/>
      </w:rPr>
    </w:lvl>
  </w:abstractNum>
  <w:abstractNum w:abstractNumId="11" w15:restartNumberingAfterBreak="0">
    <w:nsid w:val="4D0872F7"/>
    <w:multiLevelType w:val="hybridMultilevel"/>
    <w:tmpl w:val="8EEA1EAE"/>
    <w:lvl w:ilvl="0" w:tplc="6C2AF43A">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D60AFB04">
      <w:numFmt w:val="bullet"/>
      <w:lvlText w:val="•"/>
      <w:lvlJc w:val="left"/>
      <w:pPr>
        <w:ind w:left="1026" w:hanging="284"/>
      </w:pPr>
      <w:rPr>
        <w:rFonts w:hint="default"/>
        <w:lang w:val="en-US" w:eastAsia="en-US" w:bidi="en-US"/>
      </w:rPr>
    </w:lvl>
    <w:lvl w:ilvl="2" w:tplc="7040B4A0">
      <w:numFmt w:val="bullet"/>
      <w:lvlText w:val="•"/>
      <w:lvlJc w:val="left"/>
      <w:pPr>
        <w:ind w:left="1652" w:hanging="284"/>
      </w:pPr>
      <w:rPr>
        <w:rFonts w:hint="default"/>
        <w:lang w:val="en-US" w:eastAsia="en-US" w:bidi="en-US"/>
      </w:rPr>
    </w:lvl>
    <w:lvl w:ilvl="3" w:tplc="0438425A">
      <w:numFmt w:val="bullet"/>
      <w:lvlText w:val="•"/>
      <w:lvlJc w:val="left"/>
      <w:pPr>
        <w:ind w:left="2278" w:hanging="284"/>
      </w:pPr>
      <w:rPr>
        <w:rFonts w:hint="default"/>
        <w:lang w:val="en-US" w:eastAsia="en-US" w:bidi="en-US"/>
      </w:rPr>
    </w:lvl>
    <w:lvl w:ilvl="4" w:tplc="F3EE8770">
      <w:numFmt w:val="bullet"/>
      <w:lvlText w:val="•"/>
      <w:lvlJc w:val="left"/>
      <w:pPr>
        <w:ind w:left="2904" w:hanging="284"/>
      </w:pPr>
      <w:rPr>
        <w:rFonts w:hint="default"/>
        <w:lang w:val="en-US" w:eastAsia="en-US" w:bidi="en-US"/>
      </w:rPr>
    </w:lvl>
    <w:lvl w:ilvl="5" w:tplc="4210E712">
      <w:numFmt w:val="bullet"/>
      <w:lvlText w:val="•"/>
      <w:lvlJc w:val="left"/>
      <w:pPr>
        <w:ind w:left="3530" w:hanging="284"/>
      </w:pPr>
      <w:rPr>
        <w:rFonts w:hint="default"/>
        <w:lang w:val="en-US" w:eastAsia="en-US" w:bidi="en-US"/>
      </w:rPr>
    </w:lvl>
    <w:lvl w:ilvl="6" w:tplc="42541BA8">
      <w:numFmt w:val="bullet"/>
      <w:lvlText w:val="•"/>
      <w:lvlJc w:val="left"/>
      <w:pPr>
        <w:ind w:left="4156" w:hanging="284"/>
      </w:pPr>
      <w:rPr>
        <w:rFonts w:hint="default"/>
        <w:lang w:val="en-US" w:eastAsia="en-US" w:bidi="en-US"/>
      </w:rPr>
    </w:lvl>
    <w:lvl w:ilvl="7" w:tplc="5C36DCCA">
      <w:numFmt w:val="bullet"/>
      <w:lvlText w:val="•"/>
      <w:lvlJc w:val="left"/>
      <w:pPr>
        <w:ind w:left="4782" w:hanging="284"/>
      </w:pPr>
      <w:rPr>
        <w:rFonts w:hint="default"/>
        <w:lang w:val="en-US" w:eastAsia="en-US" w:bidi="en-US"/>
      </w:rPr>
    </w:lvl>
    <w:lvl w:ilvl="8" w:tplc="D9A4EF5E">
      <w:numFmt w:val="bullet"/>
      <w:lvlText w:val="•"/>
      <w:lvlJc w:val="left"/>
      <w:pPr>
        <w:ind w:left="5408" w:hanging="284"/>
      </w:pPr>
      <w:rPr>
        <w:rFonts w:hint="default"/>
        <w:lang w:val="en-US" w:eastAsia="en-US" w:bidi="en-US"/>
      </w:rPr>
    </w:lvl>
  </w:abstractNum>
  <w:abstractNum w:abstractNumId="12" w15:restartNumberingAfterBreak="0">
    <w:nsid w:val="56293650"/>
    <w:multiLevelType w:val="hybridMultilevel"/>
    <w:tmpl w:val="D526BD22"/>
    <w:lvl w:ilvl="0" w:tplc="6168404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26CCE50C">
      <w:numFmt w:val="bullet"/>
      <w:lvlText w:val="•"/>
      <w:lvlJc w:val="left"/>
      <w:pPr>
        <w:ind w:left="1026" w:hanging="284"/>
      </w:pPr>
      <w:rPr>
        <w:rFonts w:hint="default"/>
        <w:lang w:val="en-US" w:eastAsia="en-US" w:bidi="en-US"/>
      </w:rPr>
    </w:lvl>
    <w:lvl w:ilvl="2" w:tplc="C200FDC6">
      <w:numFmt w:val="bullet"/>
      <w:lvlText w:val="•"/>
      <w:lvlJc w:val="left"/>
      <w:pPr>
        <w:ind w:left="1652" w:hanging="284"/>
      </w:pPr>
      <w:rPr>
        <w:rFonts w:hint="default"/>
        <w:lang w:val="en-US" w:eastAsia="en-US" w:bidi="en-US"/>
      </w:rPr>
    </w:lvl>
    <w:lvl w:ilvl="3" w:tplc="5784DACE">
      <w:numFmt w:val="bullet"/>
      <w:lvlText w:val="•"/>
      <w:lvlJc w:val="left"/>
      <w:pPr>
        <w:ind w:left="2278" w:hanging="284"/>
      </w:pPr>
      <w:rPr>
        <w:rFonts w:hint="default"/>
        <w:lang w:val="en-US" w:eastAsia="en-US" w:bidi="en-US"/>
      </w:rPr>
    </w:lvl>
    <w:lvl w:ilvl="4" w:tplc="A00086A4">
      <w:numFmt w:val="bullet"/>
      <w:lvlText w:val="•"/>
      <w:lvlJc w:val="left"/>
      <w:pPr>
        <w:ind w:left="2904" w:hanging="284"/>
      </w:pPr>
      <w:rPr>
        <w:rFonts w:hint="default"/>
        <w:lang w:val="en-US" w:eastAsia="en-US" w:bidi="en-US"/>
      </w:rPr>
    </w:lvl>
    <w:lvl w:ilvl="5" w:tplc="B50ACCEE">
      <w:numFmt w:val="bullet"/>
      <w:lvlText w:val="•"/>
      <w:lvlJc w:val="left"/>
      <w:pPr>
        <w:ind w:left="3530" w:hanging="284"/>
      </w:pPr>
      <w:rPr>
        <w:rFonts w:hint="default"/>
        <w:lang w:val="en-US" w:eastAsia="en-US" w:bidi="en-US"/>
      </w:rPr>
    </w:lvl>
    <w:lvl w:ilvl="6" w:tplc="3C5CF384">
      <w:numFmt w:val="bullet"/>
      <w:lvlText w:val="•"/>
      <w:lvlJc w:val="left"/>
      <w:pPr>
        <w:ind w:left="4156" w:hanging="284"/>
      </w:pPr>
      <w:rPr>
        <w:rFonts w:hint="default"/>
        <w:lang w:val="en-US" w:eastAsia="en-US" w:bidi="en-US"/>
      </w:rPr>
    </w:lvl>
    <w:lvl w:ilvl="7" w:tplc="9A3C8BAA">
      <w:numFmt w:val="bullet"/>
      <w:lvlText w:val="•"/>
      <w:lvlJc w:val="left"/>
      <w:pPr>
        <w:ind w:left="4782" w:hanging="284"/>
      </w:pPr>
      <w:rPr>
        <w:rFonts w:hint="default"/>
        <w:lang w:val="en-US" w:eastAsia="en-US" w:bidi="en-US"/>
      </w:rPr>
    </w:lvl>
    <w:lvl w:ilvl="8" w:tplc="9BF6A32E">
      <w:numFmt w:val="bullet"/>
      <w:lvlText w:val="•"/>
      <w:lvlJc w:val="left"/>
      <w:pPr>
        <w:ind w:left="5408" w:hanging="284"/>
      </w:pPr>
      <w:rPr>
        <w:rFonts w:hint="default"/>
        <w:lang w:val="en-US" w:eastAsia="en-US" w:bidi="en-US"/>
      </w:rPr>
    </w:lvl>
  </w:abstractNum>
  <w:abstractNum w:abstractNumId="13" w15:restartNumberingAfterBreak="0">
    <w:nsid w:val="59140C91"/>
    <w:multiLevelType w:val="hybridMultilevel"/>
    <w:tmpl w:val="9FF2B99A"/>
    <w:lvl w:ilvl="0" w:tplc="D972941E">
      <w:start w:val="1"/>
      <w:numFmt w:val="lowerLetter"/>
      <w:lvlText w:val="%1."/>
      <w:lvlJc w:val="left"/>
      <w:pPr>
        <w:ind w:left="678" w:hanging="567"/>
      </w:pPr>
      <w:rPr>
        <w:rFonts w:ascii="Arial" w:eastAsia="Arial" w:hAnsi="Arial" w:cs="Arial" w:hint="default"/>
        <w:b/>
        <w:bCs/>
        <w:color w:val="57585B"/>
        <w:spacing w:val="-8"/>
        <w:w w:val="100"/>
        <w:sz w:val="18"/>
        <w:szCs w:val="18"/>
        <w:lang w:val="en-US" w:eastAsia="en-US" w:bidi="en-US"/>
      </w:rPr>
    </w:lvl>
    <w:lvl w:ilvl="1" w:tplc="C748B88C">
      <w:numFmt w:val="bullet"/>
      <w:lvlText w:val="•"/>
      <w:lvlJc w:val="left"/>
      <w:pPr>
        <w:ind w:left="1323" w:hanging="567"/>
      </w:pPr>
      <w:rPr>
        <w:rFonts w:hint="default"/>
        <w:lang w:val="en-US" w:eastAsia="en-US" w:bidi="en-US"/>
      </w:rPr>
    </w:lvl>
    <w:lvl w:ilvl="2" w:tplc="89EE100E">
      <w:numFmt w:val="bullet"/>
      <w:lvlText w:val="•"/>
      <w:lvlJc w:val="left"/>
      <w:pPr>
        <w:ind w:left="1966" w:hanging="567"/>
      </w:pPr>
      <w:rPr>
        <w:rFonts w:hint="default"/>
        <w:lang w:val="en-US" w:eastAsia="en-US" w:bidi="en-US"/>
      </w:rPr>
    </w:lvl>
    <w:lvl w:ilvl="3" w:tplc="31560F92">
      <w:numFmt w:val="bullet"/>
      <w:lvlText w:val="•"/>
      <w:lvlJc w:val="left"/>
      <w:pPr>
        <w:ind w:left="2609" w:hanging="567"/>
      </w:pPr>
      <w:rPr>
        <w:rFonts w:hint="default"/>
        <w:lang w:val="en-US" w:eastAsia="en-US" w:bidi="en-US"/>
      </w:rPr>
    </w:lvl>
    <w:lvl w:ilvl="4" w:tplc="BFB40228">
      <w:numFmt w:val="bullet"/>
      <w:lvlText w:val="•"/>
      <w:lvlJc w:val="left"/>
      <w:pPr>
        <w:ind w:left="3252" w:hanging="567"/>
      </w:pPr>
      <w:rPr>
        <w:rFonts w:hint="default"/>
        <w:lang w:val="en-US" w:eastAsia="en-US" w:bidi="en-US"/>
      </w:rPr>
    </w:lvl>
    <w:lvl w:ilvl="5" w:tplc="35C04F08">
      <w:numFmt w:val="bullet"/>
      <w:lvlText w:val="•"/>
      <w:lvlJc w:val="left"/>
      <w:pPr>
        <w:ind w:left="3895" w:hanging="567"/>
      </w:pPr>
      <w:rPr>
        <w:rFonts w:hint="default"/>
        <w:lang w:val="en-US" w:eastAsia="en-US" w:bidi="en-US"/>
      </w:rPr>
    </w:lvl>
    <w:lvl w:ilvl="6" w:tplc="3FF2B01C">
      <w:numFmt w:val="bullet"/>
      <w:lvlText w:val="•"/>
      <w:lvlJc w:val="left"/>
      <w:pPr>
        <w:ind w:left="4538" w:hanging="567"/>
      </w:pPr>
      <w:rPr>
        <w:rFonts w:hint="default"/>
        <w:lang w:val="en-US" w:eastAsia="en-US" w:bidi="en-US"/>
      </w:rPr>
    </w:lvl>
    <w:lvl w:ilvl="7" w:tplc="B672C912">
      <w:numFmt w:val="bullet"/>
      <w:lvlText w:val="•"/>
      <w:lvlJc w:val="left"/>
      <w:pPr>
        <w:ind w:left="5181" w:hanging="567"/>
      </w:pPr>
      <w:rPr>
        <w:rFonts w:hint="default"/>
        <w:lang w:val="en-US" w:eastAsia="en-US" w:bidi="en-US"/>
      </w:rPr>
    </w:lvl>
    <w:lvl w:ilvl="8" w:tplc="6A8E61D0">
      <w:numFmt w:val="bullet"/>
      <w:lvlText w:val="•"/>
      <w:lvlJc w:val="left"/>
      <w:pPr>
        <w:ind w:left="5824" w:hanging="567"/>
      </w:pPr>
      <w:rPr>
        <w:rFonts w:hint="default"/>
        <w:lang w:val="en-US" w:eastAsia="en-US" w:bidi="en-US"/>
      </w:rPr>
    </w:lvl>
  </w:abstractNum>
  <w:abstractNum w:abstractNumId="14" w15:restartNumberingAfterBreak="0">
    <w:nsid w:val="5A4F55BE"/>
    <w:multiLevelType w:val="hybridMultilevel"/>
    <w:tmpl w:val="4DBE0618"/>
    <w:lvl w:ilvl="0" w:tplc="073AB3EA">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BFE2E20A">
      <w:numFmt w:val="bullet"/>
      <w:lvlText w:val="•"/>
      <w:lvlJc w:val="left"/>
      <w:pPr>
        <w:ind w:left="1026" w:hanging="284"/>
      </w:pPr>
      <w:rPr>
        <w:rFonts w:hint="default"/>
        <w:lang w:val="en-US" w:eastAsia="en-US" w:bidi="en-US"/>
      </w:rPr>
    </w:lvl>
    <w:lvl w:ilvl="2" w:tplc="17186E9A">
      <w:numFmt w:val="bullet"/>
      <w:lvlText w:val="•"/>
      <w:lvlJc w:val="left"/>
      <w:pPr>
        <w:ind w:left="1652" w:hanging="284"/>
      </w:pPr>
      <w:rPr>
        <w:rFonts w:hint="default"/>
        <w:lang w:val="en-US" w:eastAsia="en-US" w:bidi="en-US"/>
      </w:rPr>
    </w:lvl>
    <w:lvl w:ilvl="3" w:tplc="7F4E583A">
      <w:numFmt w:val="bullet"/>
      <w:lvlText w:val="•"/>
      <w:lvlJc w:val="left"/>
      <w:pPr>
        <w:ind w:left="2278" w:hanging="284"/>
      </w:pPr>
      <w:rPr>
        <w:rFonts w:hint="default"/>
        <w:lang w:val="en-US" w:eastAsia="en-US" w:bidi="en-US"/>
      </w:rPr>
    </w:lvl>
    <w:lvl w:ilvl="4" w:tplc="0BC6F01E">
      <w:numFmt w:val="bullet"/>
      <w:lvlText w:val="•"/>
      <w:lvlJc w:val="left"/>
      <w:pPr>
        <w:ind w:left="2904" w:hanging="284"/>
      </w:pPr>
      <w:rPr>
        <w:rFonts w:hint="default"/>
        <w:lang w:val="en-US" w:eastAsia="en-US" w:bidi="en-US"/>
      </w:rPr>
    </w:lvl>
    <w:lvl w:ilvl="5" w:tplc="538E02F6">
      <w:numFmt w:val="bullet"/>
      <w:lvlText w:val="•"/>
      <w:lvlJc w:val="left"/>
      <w:pPr>
        <w:ind w:left="3530" w:hanging="284"/>
      </w:pPr>
      <w:rPr>
        <w:rFonts w:hint="default"/>
        <w:lang w:val="en-US" w:eastAsia="en-US" w:bidi="en-US"/>
      </w:rPr>
    </w:lvl>
    <w:lvl w:ilvl="6" w:tplc="F844F6D4">
      <w:numFmt w:val="bullet"/>
      <w:lvlText w:val="•"/>
      <w:lvlJc w:val="left"/>
      <w:pPr>
        <w:ind w:left="4156" w:hanging="284"/>
      </w:pPr>
      <w:rPr>
        <w:rFonts w:hint="default"/>
        <w:lang w:val="en-US" w:eastAsia="en-US" w:bidi="en-US"/>
      </w:rPr>
    </w:lvl>
    <w:lvl w:ilvl="7" w:tplc="A88CB7F2">
      <w:numFmt w:val="bullet"/>
      <w:lvlText w:val="•"/>
      <w:lvlJc w:val="left"/>
      <w:pPr>
        <w:ind w:left="4782" w:hanging="284"/>
      </w:pPr>
      <w:rPr>
        <w:rFonts w:hint="default"/>
        <w:lang w:val="en-US" w:eastAsia="en-US" w:bidi="en-US"/>
      </w:rPr>
    </w:lvl>
    <w:lvl w:ilvl="8" w:tplc="4680F544">
      <w:numFmt w:val="bullet"/>
      <w:lvlText w:val="•"/>
      <w:lvlJc w:val="left"/>
      <w:pPr>
        <w:ind w:left="5408" w:hanging="284"/>
      </w:pPr>
      <w:rPr>
        <w:rFonts w:hint="default"/>
        <w:lang w:val="en-US" w:eastAsia="en-US" w:bidi="en-US"/>
      </w:rPr>
    </w:lvl>
  </w:abstractNum>
  <w:abstractNum w:abstractNumId="15" w15:restartNumberingAfterBreak="0">
    <w:nsid w:val="64A9049C"/>
    <w:multiLevelType w:val="hybridMultilevel"/>
    <w:tmpl w:val="0360BB2A"/>
    <w:lvl w:ilvl="0" w:tplc="DA801156">
      <w:start w:val="1"/>
      <w:numFmt w:val="lowerLetter"/>
      <w:lvlText w:val="%1."/>
      <w:lvlJc w:val="left"/>
      <w:pPr>
        <w:ind w:left="392" w:hanging="284"/>
      </w:pPr>
      <w:rPr>
        <w:rFonts w:ascii="Arial" w:eastAsia="Arial" w:hAnsi="Arial" w:cs="Arial" w:hint="default"/>
        <w:b/>
        <w:bCs/>
        <w:color w:val="57585B"/>
        <w:spacing w:val="-17"/>
        <w:w w:val="100"/>
        <w:sz w:val="18"/>
        <w:szCs w:val="18"/>
        <w:lang w:val="en-US" w:eastAsia="en-US" w:bidi="en-US"/>
      </w:rPr>
    </w:lvl>
    <w:lvl w:ilvl="1" w:tplc="55400F7A">
      <w:numFmt w:val="bullet"/>
      <w:lvlText w:val="•"/>
      <w:lvlJc w:val="left"/>
      <w:pPr>
        <w:ind w:left="1026" w:hanging="284"/>
      </w:pPr>
      <w:rPr>
        <w:rFonts w:hint="default"/>
        <w:lang w:val="en-US" w:eastAsia="en-US" w:bidi="en-US"/>
      </w:rPr>
    </w:lvl>
    <w:lvl w:ilvl="2" w:tplc="295643DE">
      <w:numFmt w:val="bullet"/>
      <w:lvlText w:val="•"/>
      <w:lvlJc w:val="left"/>
      <w:pPr>
        <w:ind w:left="1652" w:hanging="284"/>
      </w:pPr>
      <w:rPr>
        <w:rFonts w:hint="default"/>
        <w:lang w:val="en-US" w:eastAsia="en-US" w:bidi="en-US"/>
      </w:rPr>
    </w:lvl>
    <w:lvl w:ilvl="3" w:tplc="ECA04C30">
      <w:numFmt w:val="bullet"/>
      <w:lvlText w:val="•"/>
      <w:lvlJc w:val="left"/>
      <w:pPr>
        <w:ind w:left="2278" w:hanging="284"/>
      </w:pPr>
      <w:rPr>
        <w:rFonts w:hint="default"/>
        <w:lang w:val="en-US" w:eastAsia="en-US" w:bidi="en-US"/>
      </w:rPr>
    </w:lvl>
    <w:lvl w:ilvl="4" w:tplc="52923276">
      <w:numFmt w:val="bullet"/>
      <w:lvlText w:val="•"/>
      <w:lvlJc w:val="left"/>
      <w:pPr>
        <w:ind w:left="2904" w:hanging="284"/>
      </w:pPr>
      <w:rPr>
        <w:rFonts w:hint="default"/>
        <w:lang w:val="en-US" w:eastAsia="en-US" w:bidi="en-US"/>
      </w:rPr>
    </w:lvl>
    <w:lvl w:ilvl="5" w:tplc="647EB31E">
      <w:numFmt w:val="bullet"/>
      <w:lvlText w:val="•"/>
      <w:lvlJc w:val="left"/>
      <w:pPr>
        <w:ind w:left="3530" w:hanging="284"/>
      </w:pPr>
      <w:rPr>
        <w:rFonts w:hint="default"/>
        <w:lang w:val="en-US" w:eastAsia="en-US" w:bidi="en-US"/>
      </w:rPr>
    </w:lvl>
    <w:lvl w:ilvl="6" w:tplc="F88E1DCE">
      <w:numFmt w:val="bullet"/>
      <w:lvlText w:val="•"/>
      <w:lvlJc w:val="left"/>
      <w:pPr>
        <w:ind w:left="4156" w:hanging="284"/>
      </w:pPr>
      <w:rPr>
        <w:rFonts w:hint="default"/>
        <w:lang w:val="en-US" w:eastAsia="en-US" w:bidi="en-US"/>
      </w:rPr>
    </w:lvl>
    <w:lvl w:ilvl="7" w:tplc="B9A22C9E">
      <w:numFmt w:val="bullet"/>
      <w:lvlText w:val="•"/>
      <w:lvlJc w:val="left"/>
      <w:pPr>
        <w:ind w:left="4782" w:hanging="284"/>
      </w:pPr>
      <w:rPr>
        <w:rFonts w:hint="default"/>
        <w:lang w:val="en-US" w:eastAsia="en-US" w:bidi="en-US"/>
      </w:rPr>
    </w:lvl>
    <w:lvl w:ilvl="8" w:tplc="1534D5F2">
      <w:numFmt w:val="bullet"/>
      <w:lvlText w:val="•"/>
      <w:lvlJc w:val="left"/>
      <w:pPr>
        <w:ind w:left="5408" w:hanging="284"/>
      </w:pPr>
      <w:rPr>
        <w:rFonts w:hint="default"/>
        <w:lang w:val="en-US" w:eastAsia="en-US" w:bidi="en-US"/>
      </w:rPr>
    </w:lvl>
  </w:abstractNum>
  <w:abstractNum w:abstractNumId="16" w15:restartNumberingAfterBreak="0">
    <w:nsid w:val="66CC5B10"/>
    <w:multiLevelType w:val="hybridMultilevel"/>
    <w:tmpl w:val="975C37F4"/>
    <w:lvl w:ilvl="0" w:tplc="E5C6A2D0">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858A6D80">
      <w:numFmt w:val="bullet"/>
      <w:lvlText w:val="•"/>
      <w:lvlJc w:val="left"/>
      <w:pPr>
        <w:ind w:left="1026" w:hanging="284"/>
      </w:pPr>
      <w:rPr>
        <w:rFonts w:hint="default"/>
        <w:lang w:val="en-US" w:eastAsia="en-US" w:bidi="en-US"/>
      </w:rPr>
    </w:lvl>
    <w:lvl w:ilvl="2" w:tplc="3DB0F30A">
      <w:numFmt w:val="bullet"/>
      <w:lvlText w:val="•"/>
      <w:lvlJc w:val="left"/>
      <w:pPr>
        <w:ind w:left="1652" w:hanging="284"/>
      </w:pPr>
      <w:rPr>
        <w:rFonts w:hint="default"/>
        <w:lang w:val="en-US" w:eastAsia="en-US" w:bidi="en-US"/>
      </w:rPr>
    </w:lvl>
    <w:lvl w:ilvl="3" w:tplc="6490658E">
      <w:numFmt w:val="bullet"/>
      <w:lvlText w:val="•"/>
      <w:lvlJc w:val="left"/>
      <w:pPr>
        <w:ind w:left="2278" w:hanging="284"/>
      </w:pPr>
      <w:rPr>
        <w:rFonts w:hint="default"/>
        <w:lang w:val="en-US" w:eastAsia="en-US" w:bidi="en-US"/>
      </w:rPr>
    </w:lvl>
    <w:lvl w:ilvl="4" w:tplc="57BA1294">
      <w:numFmt w:val="bullet"/>
      <w:lvlText w:val="•"/>
      <w:lvlJc w:val="left"/>
      <w:pPr>
        <w:ind w:left="2904" w:hanging="284"/>
      </w:pPr>
      <w:rPr>
        <w:rFonts w:hint="default"/>
        <w:lang w:val="en-US" w:eastAsia="en-US" w:bidi="en-US"/>
      </w:rPr>
    </w:lvl>
    <w:lvl w:ilvl="5" w:tplc="31867158">
      <w:numFmt w:val="bullet"/>
      <w:lvlText w:val="•"/>
      <w:lvlJc w:val="left"/>
      <w:pPr>
        <w:ind w:left="3530" w:hanging="284"/>
      </w:pPr>
      <w:rPr>
        <w:rFonts w:hint="default"/>
        <w:lang w:val="en-US" w:eastAsia="en-US" w:bidi="en-US"/>
      </w:rPr>
    </w:lvl>
    <w:lvl w:ilvl="6" w:tplc="DAE89CE4">
      <w:numFmt w:val="bullet"/>
      <w:lvlText w:val="•"/>
      <w:lvlJc w:val="left"/>
      <w:pPr>
        <w:ind w:left="4156" w:hanging="284"/>
      </w:pPr>
      <w:rPr>
        <w:rFonts w:hint="default"/>
        <w:lang w:val="en-US" w:eastAsia="en-US" w:bidi="en-US"/>
      </w:rPr>
    </w:lvl>
    <w:lvl w:ilvl="7" w:tplc="803E3722">
      <w:numFmt w:val="bullet"/>
      <w:lvlText w:val="•"/>
      <w:lvlJc w:val="left"/>
      <w:pPr>
        <w:ind w:left="4782" w:hanging="284"/>
      </w:pPr>
      <w:rPr>
        <w:rFonts w:hint="default"/>
        <w:lang w:val="en-US" w:eastAsia="en-US" w:bidi="en-US"/>
      </w:rPr>
    </w:lvl>
    <w:lvl w:ilvl="8" w:tplc="9202B9CE">
      <w:numFmt w:val="bullet"/>
      <w:lvlText w:val="•"/>
      <w:lvlJc w:val="left"/>
      <w:pPr>
        <w:ind w:left="5408" w:hanging="284"/>
      </w:pPr>
      <w:rPr>
        <w:rFonts w:hint="default"/>
        <w:lang w:val="en-US" w:eastAsia="en-US" w:bidi="en-US"/>
      </w:rPr>
    </w:lvl>
  </w:abstractNum>
  <w:abstractNum w:abstractNumId="17" w15:restartNumberingAfterBreak="0">
    <w:nsid w:val="6A0A4C2A"/>
    <w:multiLevelType w:val="hybridMultilevel"/>
    <w:tmpl w:val="7D0E12BE"/>
    <w:lvl w:ilvl="0" w:tplc="865E62DA">
      <w:numFmt w:val="bullet"/>
      <w:lvlText w:val="•"/>
      <w:lvlJc w:val="left"/>
      <w:pPr>
        <w:ind w:left="471" w:hanging="360"/>
      </w:pPr>
      <w:rPr>
        <w:rFonts w:ascii="Arial" w:eastAsia="Arial" w:hAnsi="Arial" w:cs="Arial" w:hint="default"/>
        <w:color w:val="57585B"/>
        <w:spacing w:val="-8"/>
        <w:w w:val="100"/>
        <w:sz w:val="18"/>
        <w:szCs w:val="18"/>
        <w:lang w:val="en-US" w:eastAsia="en-US" w:bidi="en-US"/>
      </w:rPr>
    </w:lvl>
    <w:lvl w:ilvl="1" w:tplc="9F48F91C">
      <w:numFmt w:val="bullet"/>
      <w:lvlText w:val="•"/>
      <w:lvlJc w:val="left"/>
      <w:pPr>
        <w:ind w:left="1143" w:hanging="360"/>
      </w:pPr>
      <w:rPr>
        <w:rFonts w:hint="default"/>
        <w:lang w:val="en-US" w:eastAsia="en-US" w:bidi="en-US"/>
      </w:rPr>
    </w:lvl>
    <w:lvl w:ilvl="2" w:tplc="44389C06">
      <w:numFmt w:val="bullet"/>
      <w:lvlText w:val="•"/>
      <w:lvlJc w:val="left"/>
      <w:pPr>
        <w:ind w:left="1806" w:hanging="360"/>
      </w:pPr>
      <w:rPr>
        <w:rFonts w:hint="default"/>
        <w:lang w:val="en-US" w:eastAsia="en-US" w:bidi="en-US"/>
      </w:rPr>
    </w:lvl>
    <w:lvl w:ilvl="3" w:tplc="1910BD58">
      <w:numFmt w:val="bullet"/>
      <w:lvlText w:val="•"/>
      <w:lvlJc w:val="left"/>
      <w:pPr>
        <w:ind w:left="2469" w:hanging="360"/>
      </w:pPr>
      <w:rPr>
        <w:rFonts w:hint="default"/>
        <w:lang w:val="en-US" w:eastAsia="en-US" w:bidi="en-US"/>
      </w:rPr>
    </w:lvl>
    <w:lvl w:ilvl="4" w:tplc="8EEC710A">
      <w:numFmt w:val="bullet"/>
      <w:lvlText w:val="•"/>
      <w:lvlJc w:val="left"/>
      <w:pPr>
        <w:ind w:left="3132" w:hanging="360"/>
      </w:pPr>
      <w:rPr>
        <w:rFonts w:hint="default"/>
        <w:lang w:val="en-US" w:eastAsia="en-US" w:bidi="en-US"/>
      </w:rPr>
    </w:lvl>
    <w:lvl w:ilvl="5" w:tplc="0D5CC8D8">
      <w:numFmt w:val="bullet"/>
      <w:lvlText w:val="•"/>
      <w:lvlJc w:val="left"/>
      <w:pPr>
        <w:ind w:left="3795" w:hanging="360"/>
      </w:pPr>
      <w:rPr>
        <w:rFonts w:hint="default"/>
        <w:lang w:val="en-US" w:eastAsia="en-US" w:bidi="en-US"/>
      </w:rPr>
    </w:lvl>
    <w:lvl w:ilvl="6" w:tplc="95D208FE">
      <w:numFmt w:val="bullet"/>
      <w:lvlText w:val="•"/>
      <w:lvlJc w:val="left"/>
      <w:pPr>
        <w:ind w:left="4458" w:hanging="360"/>
      </w:pPr>
      <w:rPr>
        <w:rFonts w:hint="default"/>
        <w:lang w:val="en-US" w:eastAsia="en-US" w:bidi="en-US"/>
      </w:rPr>
    </w:lvl>
    <w:lvl w:ilvl="7" w:tplc="7512A3DE">
      <w:numFmt w:val="bullet"/>
      <w:lvlText w:val="•"/>
      <w:lvlJc w:val="left"/>
      <w:pPr>
        <w:ind w:left="5121" w:hanging="360"/>
      </w:pPr>
      <w:rPr>
        <w:rFonts w:hint="default"/>
        <w:lang w:val="en-US" w:eastAsia="en-US" w:bidi="en-US"/>
      </w:rPr>
    </w:lvl>
    <w:lvl w:ilvl="8" w:tplc="F6828052">
      <w:numFmt w:val="bullet"/>
      <w:lvlText w:val="•"/>
      <w:lvlJc w:val="left"/>
      <w:pPr>
        <w:ind w:left="5784" w:hanging="360"/>
      </w:pPr>
      <w:rPr>
        <w:rFonts w:hint="default"/>
        <w:lang w:val="en-US" w:eastAsia="en-US" w:bidi="en-US"/>
      </w:rPr>
    </w:lvl>
  </w:abstractNum>
  <w:abstractNum w:abstractNumId="18" w15:restartNumberingAfterBreak="0">
    <w:nsid w:val="6ACE3F09"/>
    <w:multiLevelType w:val="hybridMultilevel"/>
    <w:tmpl w:val="E1C84A00"/>
    <w:lvl w:ilvl="0" w:tplc="483CA6A0">
      <w:start w:val="1"/>
      <w:numFmt w:val="lowerLetter"/>
      <w:lvlText w:val="%1."/>
      <w:lvlJc w:val="left"/>
      <w:pPr>
        <w:ind w:left="674" w:hanging="567"/>
      </w:pPr>
      <w:rPr>
        <w:rFonts w:ascii="Arial" w:eastAsia="Arial" w:hAnsi="Arial" w:cs="Arial" w:hint="default"/>
        <w:b/>
        <w:bCs/>
        <w:color w:val="57585B"/>
        <w:spacing w:val="-12"/>
        <w:w w:val="100"/>
        <w:sz w:val="18"/>
        <w:szCs w:val="18"/>
        <w:lang w:val="en-US" w:eastAsia="en-US" w:bidi="en-US"/>
      </w:rPr>
    </w:lvl>
    <w:lvl w:ilvl="1" w:tplc="D0AA9ED6">
      <w:numFmt w:val="bullet"/>
      <w:lvlText w:val="•"/>
      <w:lvlJc w:val="left"/>
      <w:pPr>
        <w:ind w:left="1323" w:hanging="567"/>
      </w:pPr>
      <w:rPr>
        <w:rFonts w:hint="default"/>
        <w:lang w:val="en-US" w:eastAsia="en-US" w:bidi="en-US"/>
      </w:rPr>
    </w:lvl>
    <w:lvl w:ilvl="2" w:tplc="22BCDDA2">
      <w:numFmt w:val="bullet"/>
      <w:lvlText w:val="•"/>
      <w:lvlJc w:val="left"/>
      <w:pPr>
        <w:ind w:left="1966" w:hanging="567"/>
      </w:pPr>
      <w:rPr>
        <w:rFonts w:hint="default"/>
        <w:lang w:val="en-US" w:eastAsia="en-US" w:bidi="en-US"/>
      </w:rPr>
    </w:lvl>
    <w:lvl w:ilvl="3" w:tplc="14740958">
      <w:numFmt w:val="bullet"/>
      <w:lvlText w:val="•"/>
      <w:lvlJc w:val="left"/>
      <w:pPr>
        <w:ind w:left="2609" w:hanging="567"/>
      </w:pPr>
      <w:rPr>
        <w:rFonts w:hint="default"/>
        <w:lang w:val="en-US" w:eastAsia="en-US" w:bidi="en-US"/>
      </w:rPr>
    </w:lvl>
    <w:lvl w:ilvl="4" w:tplc="AEB85414">
      <w:numFmt w:val="bullet"/>
      <w:lvlText w:val="•"/>
      <w:lvlJc w:val="left"/>
      <w:pPr>
        <w:ind w:left="3252" w:hanging="567"/>
      </w:pPr>
      <w:rPr>
        <w:rFonts w:hint="default"/>
        <w:lang w:val="en-US" w:eastAsia="en-US" w:bidi="en-US"/>
      </w:rPr>
    </w:lvl>
    <w:lvl w:ilvl="5" w:tplc="089C8AFE">
      <w:numFmt w:val="bullet"/>
      <w:lvlText w:val="•"/>
      <w:lvlJc w:val="left"/>
      <w:pPr>
        <w:ind w:left="3895" w:hanging="567"/>
      </w:pPr>
      <w:rPr>
        <w:rFonts w:hint="default"/>
        <w:lang w:val="en-US" w:eastAsia="en-US" w:bidi="en-US"/>
      </w:rPr>
    </w:lvl>
    <w:lvl w:ilvl="6" w:tplc="9D7E7DCA">
      <w:numFmt w:val="bullet"/>
      <w:lvlText w:val="•"/>
      <w:lvlJc w:val="left"/>
      <w:pPr>
        <w:ind w:left="4538" w:hanging="567"/>
      </w:pPr>
      <w:rPr>
        <w:rFonts w:hint="default"/>
        <w:lang w:val="en-US" w:eastAsia="en-US" w:bidi="en-US"/>
      </w:rPr>
    </w:lvl>
    <w:lvl w:ilvl="7" w:tplc="4C781B48">
      <w:numFmt w:val="bullet"/>
      <w:lvlText w:val="•"/>
      <w:lvlJc w:val="left"/>
      <w:pPr>
        <w:ind w:left="5181" w:hanging="567"/>
      </w:pPr>
      <w:rPr>
        <w:rFonts w:hint="default"/>
        <w:lang w:val="en-US" w:eastAsia="en-US" w:bidi="en-US"/>
      </w:rPr>
    </w:lvl>
    <w:lvl w:ilvl="8" w:tplc="F536CD42">
      <w:numFmt w:val="bullet"/>
      <w:lvlText w:val="•"/>
      <w:lvlJc w:val="left"/>
      <w:pPr>
        <w:ind w:left="5824" w:hanging="567"/>
      </w:pPr>
      <w:rPr>
        <w:rFonts w:hint="default"/>
        <w:lang w:val="en-US" w:eastAsia="en-US" w:bidi="en-US"/>
      </w:rPr>
    </w:lvl>
  </w:abstractNum>
  <w:abstractNum w:abstractNumId="19" w15:restartNumberingAfterBreak="0">
    <w:nsid w:val="6AD70D0B"/>
    <w:multiLevelType w:val="hybridMultilevel"/>
    <w:tmpl w:val="C2C45354"/>
    <w:lvl w:ilvl="0" w:tplc="46B050FA">
      <w:numFmt w:val="bullet"/>
      <w:lvlText w:val="●"/>
      <w:lvlJc w:val="left"/>
      <w:pPr>
        <w:ind w:left="680" w:hanging="567"/>
      </w:pPr>
      <w:rPr>
        <w:rFonts w:ascii="Arial" w:eastAsia="Arial" w:hAnsi="Arial" w:cs="Arial" w:hint="default"/>
        <w:color w:val="913592"/>
        <w:w w:val="100"/>
        <w:sz w:val="20"/>
        <w:szCs w:val="20"/>
        <w:lang w:val="es-ES" w:eastAsia="en-US" w:bidi="en-US"/>
      </w:rPr>
    </w:lvl>
    <w:lvl w:ilvl="1" w:tplc="CF627E80">
      <w:numFmt w:val="bullet"/>
      <w:lvlText w:val="●"/>
      <w:lvlJc w:val="left"/>
      <w:pPr>
        <w:ind w:left="1247" w:hanging="567"/>
      </w:pPr>
      <w:rPr>
        <w:rFonts w:hint="default"/>
        <w:w w:val="100"/>
        <w:lang w:val="en-US" w:eastAsia="en-US" w:bidi="en-US"/>
      </w:rPr>
    </w:lvl>
    <w:lvl w:ilvl="2" w:tplc="94D888D0">
      <w:numFmt w:val="bullet"/>
      <w:lvlText w:val="•"/>
      <w:lvlJc w:val="left"/>
      <w:pPr>
        <w:ind w:left="2235" w:hanging="567"/>
      </w:pPr>
      <w:rPr>
        <w:rFonts w:hint="default"/>
        <w:lang w:val="en-US" w:eastAsia="en-US" w:bidi="en-US"/>
      </w:rPr>
    </w:lvl>
    <w:lvl w:ilvl="3" w:tplc="13DE9EEE">
      <w:numFmt w:val="bullet"/>
      <w:lvlText w:val="•"/>
      <w:lvlJc w:val="left"/>
      <w:pPr>
        <w:ind w:left="3231" w:hanging="567"/>
      </w:pPr>
      <w:rPr>
        <w:rFonts w:hint="default"/>
        <w:lang w:val="en-US" w:eastAsia="en-US" w:bidi="en-US"/>
      </w:rPr>
    </w:lvl>
    <w:lvl w:ilvl="4" w:tplc="7ECCC42C">
      <w:numFmt w:val="bullet"/>
      <w:lvlText w:val="•"/>
      <w:lvlJc w:val="left"/>
      <w:pPr>
        <w:ind w:left="4226" w:hanging="567"/>
      </w:pPr>
      <w:rPr>
        <w:rFonts w:hint="default"/>
        <w:lang w:val="en-US" w:eastAsia="en-US" w:bidi="en-US"/>
      </w:rPr>
    </w:lvl>
    <w:lvl w:ilvl="5" w:tplc="70249CAE">
      <w:numFmt w:val="bullet"/>
      <w:lvlText w:val="•"/>
      <w:lvlJc w:val="left"/>
      <w:pPr>
        <w:ind w:left="5222" w:hanging="567"/>
      </w:pPr>
      <w:rPr>
        <w:rFonts w:hint="default"/>
        <w:lang w:val="en-US" w:eastAsia="en-US" w:bidi="en-US"/>
      </w:rPr>
    </w:lvl>
    <w:lvl w:ilvl="6" w:tplc="5018342A">
      <w:numFmt w:val="bullet"/>
      <w:lvlText w:val="•"/>
      <w:lvlJc w:val="left"/>
      <w:pPr>
        <w:ind w:left="6217" w:hanging="567"/>
      </w:pPr>
      <w:rPr>
        <w:rFonts w:hint="default"/>
        <w:lang w:val="en-US" w:eastAsia="en-US" w:bidi="en-US"/>
      </w:rPr>
    </w:lvl>
    <w:lvl w:ilvl="7" w:tplc="A8AA13FE">
      <w:numFmt w:val="bullet"/>
      <w:lvlText w:val="•"/>
      <w:lvlJc w:val="left"/>
      <w:pPr>
        <w:ind w:left="7213" w:hanging="567"/>
      </w:pPr>
      <w:rPr>
        <w:rFonts w:hint="default"/>
        <w:lang w:val="en-US" w:eastAsia="en-US" w:bidi="en-US"/>
      </w:rPr>
    </w:lvl>
    <w:lvl w:ilvl="8" w:tplc="3454D0BA">
      <w:numFmt w:val="bullet"/>
      <w:lvlText w:val="•"/>
      <w:lvlJc w:val="left"/>
      <w:pPr>
        <w:ind w:left="8208" w:hanging="567"/>
      </w:pPr>
      <w:rPr>
        <w:rFonts w:hint="default"/>
        <w:lang w:val="en-US" w:eastAsia="en-US" w:bidi="en-US"/>
      </w:rPr>
    </w:lvl>
  </w:abstractNum>
  <w:abstractNum w:abstractNumId="20" w15:restartNumberingAfterBreak="0">
    <w:nsid w:val="79B722DE"/>
    <w:multiLevelType w:val="hybridMultilevel"/>
    <w:tmpl w:val="CE843588"/>
    <w:lvl w:ilvl="0" w:tplc="095A1624">
      <w:start w:val="1"/>
      <w:numFmt w:val="lowerLetter"/>
      <w:lvlText w:val="%1."/>
      <w:lvlJc w:val="left"/>
      <w:pPr>
        <w:ind w:left="395" w:hanging="284"/>
      </w:pPr>
      <w:rPr>
        <w:rFonts w:ascii="Arial" w:eastAsia="Arial" w:hAnsi="Arial" w:cs="Arial" w:hint="default"/>
        <w:b/>
        <w:bCs/>
        <w:color w:val="57585B"/>
        <w:spacing w:val="-17"/>
        <w:w w:val="100"/>
        <w:sz w:val="18"/>
        <w:szCs w:val="18"/>
        <w:lang w:val="en-US" w:eastAsia="en-US" w:bidi="en-US"/>
      </w:rPr>
    </w:lvl>
    <w:lvl w:ilvl="1" w:tplc="ACEEBE94">
      <w:numFmt w:val="bullet"/>
      <w:lvlText w:val="•"/>
      <w:lvlJc w:val="left"/>
      <w:pPr>
        <w:ind w:left="1026" w:hanging="284"/>
      </w:pPr>
      <w:rPr>
        <w:rFonts w:hint="default"/>
        <w:lang w:val="en-US" w:eastAsia="en-US" w:bidi="en-US"/>
      </w:rPr>
    </w:lvl>
    <w:lvl w:ilvl="2" w:tplc="BD9EDA7C">
      <w:numFmt w:val="bullet"/>
      <w:lvlText w:val="•"/>
      <w:lvlJc w:val="left"/>
      <w:pPr>
        <w:ind w:left="1652" w:hanging="284"/>
      </w:pPr>
      <w:rPr>
        <w:rFonts w:hint="default"/>
        <w:lang w:val="en-US" w:eastAsia="en-US" w:bidi="en-US"/>
      </w:rPr>
    </w:lvl>
    <w:lvl w:ilvl="3" w:tplc="452AB760">
      <w:numFmt w:val="bullet"/>
      <w:lvlText w:val="•"/>
      <w:lvlJc w:val="left"/>
      <w:pPr>
        <w:ind w:left="2278" w:hanging="284"/>
      </w:pPr>
      <w:rPr>
        <w:rFonts w:hint="default"/>
        <w:lang w:val="en-US" w:eastAsia="en-US" w:bidi="en-US"/>
      </w:rPr>
    </w:lvl>
    <w:lvl w:ilvl="4" w:tplc="64F46968">
      <w:numFmt w:val="bullet"/>
      <w:lvlText w:val="•"/>
      <w:lvlJc w:val="left"/>
      <w:pPr>
        <w:ind w:left="2904" w:hanging="284"/>
      </w:pPr>
      <w:rPr>
        <w:rFonts w:hint="default"/>
        <w:lang w:val="en-US" w:eastAsia="en-US" w:bidi="en-US"/>
      </w:rPr>
    </w:lvl>
    <w:lvl w:ilvl="5" w:tplc="194CCDEA">
      <w:numFmt w:val="bullet"/>
      <w:lvlText w:val="•"/>
      <w:lvlJc w:val="left"/>
      <w:pPr>
        <w:ind w:left="3530" w:hanging="284"/>
      </w:pPr>
      <w:rPr>
        <w:rFonts w:hint="default"/>
        <w:lang w:val="en-US" w:eastAsia="en-US" w:bidi="en-US"/>
      </w:rPr>
    </w:lvl>
    <w:lvl w:ilvl="6" w:tplc="43741820">
      <w:numFmt w:val="bullet"/>
      <w:lvlText w:val="•"/>
      <w:lvlJc w:val="left"/>
      <w:pPr>
        <w:ind w:left="4156" w:hanging="284"/>
      </w:pPr>
      <w:rPr>
        <w:rFonts w:hint="default"/>
        <w:lang w:val="en-US" w:eastAsia="en-US" w:bidi="en-US"/>
      </w:rPr>
    </w:lvl>
    <w:lvl w:ilvl="7" w:tplc="D7403A10">
      <w:numFmt w:val="bullet"/>
      <w:lvlText w:val="•"/>
      <w:lvlJc w:val="left"/>
      <w:pPr>
        <w:ind w:left="4782" w:hanging="284"/>
      </w:pPr>
      <w:rPr>
        <w:rFonts w:hint="default"/>
        <w:lang w:val="en-US" w:eastAsia="en-US" w:bidi="en-US"/>
      </w:rPr>
    </w:lvl>
    <w:lvl w:ilvl="8" w:tplc="03540A7C">
      <w:numFmt w:val="bullet"/>
      <w:lvlText w:val="•"/>
      <w:lvlJc w:val="left"/>
      <w:pPr>
        <w:ind w:left="5408" w:hanging="284"/>
      </w:pPr>
      <w:rPr>
        <w:rFonts w:hint="default"/>
        <w:lang w:val="en-US" w:eastAsia="en-US" w:bidi="en-US"/>
      </w:rPr>
    </w:lvl>
  </w:abstractNum>
  <w:num w:numId="1">
    <w:abstractNumId w:val="3"/>
  </w:num>
  <w:num w:numId="2">
    <w:abstractNumId w:val="4"/>
  </w:num>
  <w:num w:numId="3">
    <w:abstractNumId w:val="17"/>
  </w:num>
  <w:num w:numId="4">
    <w:abstractNumId w:val="8"/>
  </w:num>
  <w:num w:numId="5">
    <w:abstractNumId w:val="0"/>
  </w:num>
  <w:num w:numId="6">
    <w:abstractNumId w:val="1"/>
  </w:num>
  <w:num w:numId="7">
    <w:abstractNumId w:val="13"/>
  </w:num>
  <w:num w:numId="8">
    <w:abstractNumId w:val="18"/>
  </w:num>
  <w:num w:numId="9">
    <w:abstractNumId w:val="20"/>
  </w:num>
  <w:num w:numId="10">
    <w:abstractNumId w:val="14"/>
  </w:num>
  <w:num w:numId="11">
    <w:abstractNumId w:val="16"/>
  </w:num>
  <w:num w:numId="12">
    <w:abstractNumId w:val="12"/>
  </w:num>
  <w:num w:numId="13">
    <w:abstractNumId w:val="10"/>
  </w:num>
  <w:num w:numId="14">
    <w:abstractNumId w:val="15"/>
  </w:num>
  <w:num w:numId="15">
    <w:abstractNumId w:val="5"/>
  </w:num>
  <w:num w:numId="16">
    <w:abstractNumId w:val="11"/>
  </w:num>
  <w:num w:numId="17">
    <w:abstractNumId w:val="9"/>
  </w:num>
  <w:num w:numId="18">
    <w:abstractNumId w:val="6"/>
  </w:num>
  <w:num w:numId="19">
    <w:abstractNumId w:val="19"/>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E35672"/>
    <w:rsid w:val="00010A50"/>
    <w:rsid w:val="00022AA8"/>
    <w:rsid w:val="000423F9"/>
    <w:rsid w:val="00042CA4"/>
    <w:rsid w:val="00043D14"/>
    <w:rsid w:val="000A4295"/>
    <w:rsid w:val="000B2881"/>
    <w:rsid w:val="00104B0C"/>
    <w:rsid w:val="001064C0"/>
    <w:rsid w:val="00140ACC"/>
    <w:rsid w:val="00142502"/>
    <w:rsid w:val="00153DF3"/>
    <w:rsid w:val="00162DCA"/>
    <w:rsid w:val="00166554"/>
    <w:rsid w:val="00173805"/>
    <w:rsid w:val="0017499E"/>
    <w:rsid w:val="00194D5B"/>
    <w:rsid w:val="001F2B4C"/>
    <w:rsid w:val="00201FEB"/>
    <w:rsid w:val="00225730"/>
    <w:rsid w:val="002666BD"/>
    <w:rsid w:val="00272073"/>
    <w:rsid w:val="002A2E6C"/>
    <w:rsid w:val="003125F6"/>
    <w:rsid w:val="00321411"/>
    <w:rsid w:val="00337FF9"/>
    <w:rsid w:val="00350997"/>
    <w:rsid w:val="00355476"/>
    <w:rsid w:val="00366521"/>
    <w:rsid w:val="00366C79"/>
    <w:rsid w:val="00375514"/>
    <w:rsid w:val="00375BC7"/>
    <w:rsid w:val="003849BC"/>
    <w:rsid w:val="003A572E"/>
    <w:rsid w:val="003E1FA9"/>
    <w:rsid w:val="00443B10"/>
    <w:rsid w:val="00457B71"/>
    <w:rsid w:val="00463669"/>
    <w:rsid w:val="004876E8"/>
    <w:rsid w:val="004A1EF9"/>
    <w:rsid w:val="004C0FD3"/>
    <w:rsid w:val="004D623C"/>
    <w:rsid w:val="00503772"/>
    <w:rsid w:val="005053D0"/>
    <w:rsid w:val="005179FB"/>
    <w:rsid w:val="00530B69"/>
    <w:rsid w:val="00556E9B"/>
    <w:rsid w:val="0056429F"/>
    <w:rsid w:val="00585648"/>
    <w:rsid w:val="005A3113"/>
    <w:rsid w:val="005A3EA2"/>
    <w:rsid w:val="005D695E"/>
    <w:rsid w:val="00616D0B"/>
    <w:rsid w:val="0062521A"/>
    <w:rsid w:val="006449B9"/>
    <w:rsid w:val="00695256"/>
    <w:rsid w:val="006C4C7D"/>
    <w:rsid w:val="00700049"/>
    <w:rsid w:val="00705919"/>
    <w:rsid w:val="007236C3"/>
    <w:rsid w:val="007328C2"/>
    <w:rsid w:val="00772E55"/>
    <w:rsid w:val="007A24B1"/>
    <w:rsid w:val="007A5D23"/>
    <w:rsid w:val="007A70A5"/>
    <w:rsid w:val="007D549A"/>
    <w:rsid w:val="00841BC8"/>
    <w:rsid w:val="00842A56"/>
    <w:rsid w:val="008458FD"/>
    <w:rsid w:val="00867D09"/>
    <w:rsid w:val="008876F9"/>
    <w:rsid w:val="008B3636"/>
    <w:rsid w:val="00921794"/>
    <w:rsid w:val="00940941"/>
    <w:rsid w:val="00960D53"/>
    <w:rsid w:val="009750E2"/>
    <w:rsid w:val="00982CA4"/>
    <w:rsid w:val="00997E1D"/>
    <w:rsid w:val="009C6D7F"/>
    <w:rsid w:val="009E6D4E"/>
    <w:rsid w:val="009F0062"/>
    <w:rsid w:val="00A12295"/>
    <w:rsid w:val="00A12B3E"/>
    <w:rsid w:val="00A46FCB"/>
    <w:rsid w:val="00A63120"/>
    <w:rsid w:val="00A634E1"/>
    <w:rsid w:val="00A6354E"/>
    <w:rsid w:val="00A9603B"/>
    <w:rsid w:val="00AE683D"/>
    <w:rsid w:val="00AF5041"/>
    <w:rsid w:val="00B359E0"/>
    <w:rsid w:val="00B36939"/>
    <w:rsid w:val="00B426B4"/>
    <w:rsid w:val="00B44E52"/>
    <w:rsid w:val="00B960DD"/>
    <w:rsid w:val="00C2345F"/>
    <w:rsid w:val="00C463EC"/>
    <w:rsid w:val="00C6047F"/>
    <w:rsid w:val="00C917FD"/>
    <w:rsid w:val="00C92436"/>
    <w:rsid w:val="00D1185A"/>
    <w:rsid w:val="00D44422"/>
    <w:rsid w:val="00D46DEC"/>
    <w:rsid w:val="00D528DB"/>
    <w:rsid w:val="00D81887"/>
    <w:rsid w:val="00E12E73"/>
    <w:rsid w:val="00E15C39"/>
    <w:rsid w:val="00E33604"/>
    <w:rsid w:val="00E35672"/>
    <w:rsid w:val="00E53C6D"/>
    <w:rsid w:val="00E66D85"/>
    <w:rsid w:val="00E927E4"/>
    <w:rsid w:val="00F1467C"/>
    <w:rsid w:val="00F26B16"/>
    <w:rsid w:val="00F2768D"/>
    <w:rsid w:val="00FD695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43177A5"/>
  <w15:docId w15:val="{6A8B93F5-0BEC-A64E-A61D-14FDFA66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paragraph" w:styleId="Ttulo1">
    <w:name w:val="heading 1"/>
    <w:basedOn w:val="Normal"/>
    <w:uiPriority w:val="9"/>
    <w:qFormat/>
    <w:pPr>
      <w:ind w:left="6487"/>
      <w:outlineLvl w:val="0"/>
    </w:pPr>
    <w:rPr>
      <w:b/>
      <w:bCs/>
      <w:sz w:val="28"/>
      <w:szCs w:val="28"/>
    </w:rPr>
  </w:style>
  <w:style w:type="paragraph" w:styleId="Ttulo2">
    <w:name w:val="heading 2"/>
    <w:basedOn w:val="Normal"/>
    <w:uiPriority w:val="9"/>
    <w:unhideWhenUsed/>
    <w:qFormat/>
    <w:pPr>
      <w:ind w:left="113" w:right="109"/>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680" w:hanging="567"/>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022AA8"/>
    <w:rPr>
      <w:sz w:val="16"/>
      <w:szCs w:val="16"/>
    </w:rPr>
  </w:style>
  <w:style w:type="paragraph" w:styleId="Textocomentario">
    <w:name w:val="annotation text"/>
    <w:basedOn w:val="Normal"/>
    <w:link w:val="TextocomentarioCar"/>
    <w:uiPriority w:val="99"/>
    <w:semiHidden/>
    <w:unhideWhenUsed/>
    <w:rsid w:val="00022AA8"/>
    <w:rPr>
      <w:sz w:val="20"/>
      <w:szCs w:val="20"/>
    </w:rPr>
  </w:style>
  <w:style w:type="character" w:customStyle="1" w:styleId="TextocomentarioCar">
    <w:name w:val="Texto comentario Car"/>
    <w:basedOn w:val="Fuentedeprrafopredeter"/>
    <w:link w:val="Textocomentario"/>
    <w:uiPriority w:val="99"/>
    <w:semiHidden/>
    <w:rsid w:val="00022AA8"/>
    <w:rPr>
      <w:rFonts w:ascii="Arial" w:eastAsia="Arial" w:hAnsi="Arial" w:cs="Arial"/>
      <w:sz w:val="20"/>
      <w:szCs w:val="20"/>
      <w:lang w:bidi="en-US"/>
    </w:rPr>
  </w:style>
  <w:style w:type="paragraph" w:styleId="Asuntodelcomentario">
    <w:name w:val="annotation subject"/>
    <w:basedOn w:val="Textocomentario"/>
    <w:next w:val="Textocomentario"/>
    <w:link w:val="AsuntodelcomentarioCar"/>
    <w:uiPriority w:val="99"/>
    <w:semiHidden/>
    <w:unhideWhenUsed/>
    <w:rsid w:val="00022AA8"/>
    <w:rPr>
      <w:b/>
      <w:bCs/>
    </w:rPr>
  </w:style>
  <w:style w:type="character" w:customStyle="1" w:styleId="AsuntodelcomentarioCar">
    <w:name w:val="Asunto del comentario Car"/>
    <w:basedOn w:val="TextocomentarioCar"/>
    <w:link w:val="Asuntodelcomentario"/>
    <w:uiPriority w:val="99"/>
    <w:semiHidden/>
    <w:rsid w:val="00022AA8"/>
    <w:rPr>
      <w:rFonts w:ascii="Arial" w:eastAsia="Arial" w:hAnsi="Arial" w:cs="Arial"/>
      <w:b/>
      <w:bCs/>
      <w:sz w:val="20"/>
      <w:szCs w:val="20"/>
      <w:lang w:bidi="en-US"/>
    </w:rPr>
  </w:style>
  <w:style w:type="paragraph" w:styleId="Textodeglobo">
    <w:name w:val="Balloon Text"/>
    <w:basedOn w:val="Normal"/>
    <w:link w:val="TextodegloboCar"/>
    <w:uiPriority w:val="99"/>
    <w:semiHidden/>
    <w:unhideWhenUsed/>
    <w:rsid w:val="00C917F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17FD"/>
    <w:rPr>
      <w:rFonts w:ascii="Segoe UI" w:eastAsia="Arial"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lobalpartnership.org/content/practical-guide-effective-joint-sector-reviews-education-sector" TargetMode="Externa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e-accelerator.org/toolkit/section-2/tool-2-2"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C45BF23721994595D9DCB4EBB35E4C" ma:contentTypeVersion="13" ma:contentTypeDescription="Create a new document." ma:contentTypeScope="" ma:versionID="d3724e940bab23d49ae06cd47bc5b041">
  <xsd:schema xmlns:xsd="http://www.w3.org/2001/XMLSchema" xmlns:xs="http://www.w3.org/2001/XMLSchema" xmlns:p="http://schemas.microsoft.com/office/2006/metadata/properties" xmlns:ns3="361db50f-b9e6-4c6d-97e5-2bca12d39a4d" xmlns:ns4="6c2f473f-54ac-4b60-a76a-ab70e031bddb" targetNamespace="http://schemas.microsoft.com/office/2006/metadata/properties" ma:root="true" ma:fieldsID="516dcf59efefbf7fb6d42c6bc6a675de" ns3:_="" ns4:_="">
    <xsd:import namespace="361db50f-b9e6-4c6d-97e5-2bca12d39a4d"/>
    <xsd:import namespace="6c2f473f-54ac-4b60-a76a-ab70e031bdd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db50f-b9e6-4c6d-97e5-2bca12d39a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2f473f-54ac-4b60-a76a-ab70e031bddb"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5E98FC-3AF4-43AB-9398-5CEA609DF0CB}">
  <ds:schemaRefs>
    <ds:schemaRef ds:uri="http://schemas.microsoft.com/sharepoint/v3/contenttype/forms"/>
  </ds:schemaRefs>
</ds:datastoreItem>
</file>

<file path=customXml/itemProps2.xml><?xml version="1.0" encoding="utf-8"?>
<ds:datastoreItem xmlns:ds="http://schemas.openxmlformats.org/officeDocument/2006/customXml" ds:itemID="{6346B1F6-C54B-43B0-9BC0-A1A421EFB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db50f-b9e6-4c6d-97e5-2bca12d39a4d"/>
    <ds:schemaRef ds:uri="6c2f473f-54ac-4b60-a76a-ab70e031bd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E2F2D-FBDF-4FBA-A98E-587279F3BD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4552</Words>
  <Characters>25042</Characters>
  <Application>Microsoft Office Word</Application>
  <DocSecurity>0</DocSecurity>
  <Lines>208</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2021-03-31T23:41:00Z</cp:lastPrinted>
  <dcterms:created xsi:type="dcterms:W3CDTF">2021-03-31T23:41:00Z</dcterms:created>
  <dcterms:modified xsi:type="dcterms:W3CDTF">2021-03-31T23:41:00Z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2021-03-16T00:00:00Z</vt:filetime>
  </property>
  <property fmtid="{D5CDD505-2E9C-101B-9397-08002B2CF9AE}" pid="5" name="ContentTypeId">
    <vt:lpwstr>0x01010004C45BF23721994595D9DCB4EBB35E4C</vt:lpwstr>
  </property>
</Properties>
</file>