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DC79" w14:textId="512B0D65" w:rsidR="00467993" w:rsidRPr="00467993" w:rsidRDefault="00000000" w:rsidP="00D529BF">
      <w:pPr>
        <w:widowControl w:val="0"/>
        <w:autoSpaceDE w:val="0"/>
        <w:autoSpaceDN w:val="0"/>
        <w:spacing w:before="75" w:line="240" w:lineRule="auto"/>
        <w:jc w:val="center"/>
        <w:rPr>
          <w:color w:val="913592"/>
          <w:sz w:val="28"/>
          <w:szCs w:val="28"/>
          <w:lang w:val="en-US" w:bidi="en-US"/>
        </w:rPr>
      </w:pPr>
      <w:r w:rsidRPr="00467993">
        <w:rPr>
          <w:color w:val="913592"/>
          <w:sz w:val="28"/>
          <w:szCs w:val="28"/>
          <w:lang w:val="en-US" w:bidi="en-US"/>
        </w:rPr>
        <w:t>T</w:t>
      </w:r>
      <w:r w:rsidR="00D529BF">
        <w:rPr>
          <w:color w:val="913592"/>
          <w:sz w:val="28"/>
          <w:szCs w:val="28"/>
          <w:lang w:val="en-US" w:bidi="en-US"/>
        </w:rPr>
        <w:t>OOL</w:t>
      </w:r>
      <w:r w:rsidRPr="00467993">
        <w:rPr>
          <w:color w:val="913592"/>
          <w:sz w:val="28"/>
          <w:szCs w:val="28"/>
          <w:lang w:val="en-US" w:bidi="en-US"/>
        </w:rPr>
        <w:t xml:space="preserve"> 5.</w:t>
      </w:r>
      <w:r w:rsidR="00160590" w:rsidRPr="00467993">
        <w:rPr>
          <w:color w:val="913592"/>
          <w:sz w:val="28"/>
          <w:szCs w:val="28"/>
          <w:lang w:val="en-US" w:bidi="en-US"/>
        </w:rPr>
        <w:t>1</w:t>
      </w:r>
      <w:r w:rsidR="00155AFB">
        <w:rPr>
          <w:color w:val="913592"/>
          <w:sz w:val="28"/>
          <w:szCs w:val="28"/>
          <w:lang w:val="en-US" w:bidi="en-US"/>
        </w:rPr>
        <w:t>: GUIDANCE</w:t>
      </w:r>
    </w:p>
    <w:p w14:paraId="400B02DE" w14:textId="6DAF07D0" w:rsidR="00254079" w:rsidRPr="00467993" w:rsidRDefault="00467993" w:rsidP="00467993">
      <w:pPr>
        <w:widowControl w:val="0"/>
        <w:autoSpaceDE w:val="0"/>
        <w:autoSpaceDN w:val="0"/>
        <w:spacing w:before="75" w:line="240" w:lineRule="auto"/>
        <w:jc w:val="center"/>
        <w:rPr>
          <w:color w:val="913592"/>
          <w:sz w:val="28"/>
          <w:szCs w:val="28"/>
          <w:lang w:val="en-US" w:bidi="en-US"/>
        </w:rPr>
      </w:pPr>
      <w:r w:rsidRPr="00467993">
        <w:rPr>
          <w:b/>
          <w:bCs/>
          <w:color w:val="913592"/>
          <w:sz w:val="28"/>
          <w:szCs w:val="28"/>
          <w:lang w:val="en-US" w:bidi="en-US"/>
        </w:rPr>
        <w:t>ECE FINANCING RESOURCE GUIDE</w:t>
      </w:r>
    </w:p>
    <w:p w14:paraId="50024319" w14:textId="77777777" w:rsidR="00160590" w:rsidRPr="00DF4EAE" w:rsidRDefault="00160590">
      <w:pPr>
        <w:rPr>
          <w:color w:val="58595B"/>
        </w:rPr>
      </w:pPr>
    </w:p>
    <w:p w14:paraId="50D0EC19" w14:textId="79FE6AF2" w:rsidR="00FD72C8" w:rsidRDefault="00000000" w:rsidP="00FD72C8">
      <w:pPr>
        <w:pStyle w:val="Heading1"/>
        <w:rPr>
          <w:bCs/>
          <w:color w:val="913592"/>
          <w:sz w:val="24"/>
          <w:szCs w:val="24"/>
          <w:lang w:val="en-US" w:bidi="en-US"/>
        </w:rPr>
      </w:pPr>
      <w:bookmarkStart w:id="0" w:name="_jwena922miq" w:colFirst="0" w:colLast="0"/>
      <w:bookmarkEnd w:id="0"/>
      <w:r w:rsidRPr="00FD72C8">
        <w:rPr>
          <w:bCs/>
          <w:color w:val="913592"/>
          <w:sz w:val="24"/>
          <w:szCs w:val="24"/>
          <w:lang w:val="en-US" w:bidi="en-US"/>
        </w:rPr>
        <w:t>Where does financing for ECE come from?</w:t>
      </w:r>
    </w:p>
    <w:p w14:paraId="39666631" w14:textId="77777777" w:rsidR="000B4AB8" w:rsidRPr="000B4AB8" w:rsidRDefault="000B4AB8" w:rsidP="000B4AB8">
      <w:pPr>
        <w:rPr>
          <w:sz w:val="6"/>
          <w:szCs w:val="6"/>
          <w:lang w:val="en-US" w:bidi="en-US"/>
        </w:rPr>
      </w:pPr>
    </w:p>
    <w:p w14:paraId="7971DBB7" w14:textId="77777777" w:rsidR="00254079" w:rsidRPr="00FD72C8" w:rsidRDefault="00000000">
      <w:pPr>
        <w:spacing w:line="240" w:lineRule="auto"/>
        <w:rPr>
          <w:color w:val="58595B"/>
          <w:sz w:val="24"/>
          <w:szCs w:val="24"/>
        </w:rPr>
      </w:pPr>
      <w:r w:rsidRPr="00FD72C8">
        <w:rPr>
          <w:color w:val="58595B"/>
          <w:sz w:val="24"/>
          <w:szCs w:val="24"/>
        </w:rPr>
        <w:t xml:space="preserve">When looking at your </w:t>
      </w:r>
      <w:proofErr w:type="gramStart"/>
      <w:r w:rsidRPr="00FD72C8">
        <w:rPr>
          <w:color w:val="58595B"/>
          <w:sz w:val="24"/>
          <w:szCs w:val="24"/>
        </w:rPr>
        <w:t>particular country</w:t>
      </w:r>
      <w:proofErr w:type="gramEnd"/>
      <w:r w:rsidRPr="00FD72C8">
        <w:rPr>
          <w:color w:val="58595B"/>
          <w:sz w:val="24"/>
          <w:szCs w:val="24"/>
        </w:rPr>
        <w:t xml:space="preserve"> context, you may want to map out all the current sources for ECE funding. Conventional financing for ECE is often comprised of multiple funding streams that may come as a mix of central, regional, and local sources. Possible conventional funding sources for ECE may include: </w:t>
      </w:r>
    </w:p>
    <w:p w14:paraId="2006EEDF" w14:textId="77777777" w:rsidR="00254079" w:rsidRPr="00FD72C8" w:rsidRDefault="00254079">
      <w:pPr>
        <w:rPr>
          <w:color w:val="58595B"/>
          <w:sz w:val="24"/>
          <w:szCs w:val="24"/>
        </w:rPr>
      </w:pPr>
    </w:p>
    <w:p w14:paraId="4506B05C" w14:textId="77777777" w:rsidR="00254079" w:rsidRPr="00FD72C8" w:rsidRDefault="00000000" w:rsidP="00FD72C8">
      <w:pPr>
        <w:pStyle w:val="ListParagraph"/>
        <w:numPr>
          <w:ilvl w:val="0"/>
          <w:numId w:val="36"/>
        </w:numPr>
        <w:rPr>
          <w:color w:val="58595B"/>
          <w:sz w:val="24"/>
          <w:szCs w:val="24"/>
        </w:rPr>
      </w:pPr>
      <w:r w:rsidRPr="00FD72C8">
        <w:rPr>
          <w:color w:val="58595B"/>
          <w:sz w:val="24"/>
          <w:szCs w:val="24"/>
        </w:rPr>
        <w:t>Public/government funding, possibly from a mix of central, regional, and local sources</w:t>
      </w:r>
    </w:p>
    <w:p w14:paraId="2CA8A0F9" w14:textId="77777777" w:rsidR="00254079" w:rsidRPr="00FD72C8" w:rsidRDefault="00000000" w:rsidP="00FD72C8">
      <w:pPr>
        <w:pStyle w:val="ListParagraph"/>
        <w:numPr>
          <w:ilvl w:val="0"/>
          <w:numId w:val="36"/>
        </w:numPr>
        <w:rPr>
          <w:color w:val="58595B"/>
          <w:sz w:val="24"/>
          <w:szCs w:val="24"/>
        </w:rPr>
      </w:pPr>
      <w:r w:rsidRPr="00FD72C8">
        <w:rPr>
          <w:color w:val="58595B"/>
          <w:sz w:val="24"/>
          <w:szCs w:val="24"/>
        </w:rPr>
        <w:t>Private sources, such as NGOs, philanthropies, foundations, faith-based organizations, community proprietors</w:t>
      </w:r>
    </w:p>
    <w:p w14:paraId="5C344B58" w14:textId="77777777" w:rsidR="00254079" w:rsidRPr="00FD72C8" w:rsidRDefault="00000000" w:rsidP="00FD72C8">
      <w:pPr>
        <w:pStyle w:val="ListParagraph"/>
        <w:numPr>
          <w:ilvl w:val="0"/>
          <w:numId w:val="36"/>
        </w:numPr>
        <w:rPr>
          <w:color w:val="58595B"/>
          <w:sz w:val="24"/>
          <w:szCs w:val="24"/>
        </w:rPr>
      </w:pPr>
      <w:r w:rsidRPr="00FD72C8">
        <w:rPr>
          <w:color w:val="58595B"/>
          <w:sz w:val="24"/>
          <w:szCs w:val="24"/>
        </w:rPr>
        <w:t>Bilateral aid from national governments</w:t>
      </w:r>
    </w:p>
    <w:p w14:paraId="5D3B5578" w14:textId="25DB155D" w:rsidR="00254079" w:rsidRPr="00FD72C8" w:rsidRDefault="00000000" w:rsidP="00FD72C8">
      <w:pPr>
        <w:pStyle w:val="ListParagraph"/>
        <w:numPr>
          <w:ilvl w:val="0"/>
          <w:numId w:val="36"/>
        </w:numPr>
        <w:rPr>
          <w:color w:val="58595B"/>
          <w:sz w:val="24"/>
          <w:szCs w:val="24"/>
        </w:rPr>
      </w:pPr>
      <w:r w:rsidRPr="00FD72C8">
        <w:rPr>
          <w:color w:val="58595B"/>
          <w:sz w:val="24"/>
          <w:szCs w:val="24"/>
        </w:rPr>
        <w:t xml:space="preserve">Multilateral aid, such as GPE, World Bank, UNICEF, World Food Programme, </w:t>
      </w:r>
      <w:r w:rsidR="00975857" w:rsidRPr="00FD72C8">
        <w:rPr>
          <w:color w:val="58595B"/>
          <w:sz w:val="24"/>
          <w:szCs w:val="24"/>
        </w:rPr>
        <w:t>etc.</w:t>
      </w:r>
    </w:p>
    <w:p w14:paraId="484AC904" w14:textId="77777777" w:rsidR="00254079" w:rsidRPr="00FD72C8" w:rsidRDefault="00000000" w:rsidP="00FD72C8">
      <w:pPr>
        <w:pStyle w:val="ListParagraph"/>
        <w:numPr>
          <w:ilvl w:val="0"/>
          <w:numId w:val="36"/>
        </w:numPr>
        <w:rPr>
          <w:color w:val="58595B"/>
          <w:sz w:val="24"/>
          <w:szCs w:val="24"/>
        </w:rPr>
      </w:pPr>
      <w:r w:rsidRPr="00FD72C8">
        <w:rPr>
          <w:color w:val="58595B"/>
          <w:sz w:val="24"/>
          <w:szCs w:val="24"/>
        </w:rPr>
        <w:t>Community-based</w:t>
      </w:r>
    </w:p>
    <w:p w14:paraId="5D3551E9" w14:textId="5269B9D5" w:rsidR="00254079" w:rsidRPr="00FD72C8" w:rsidRDefault="00000000" w:rsidP="00FD72C8">
      <w:pPr>
        <w:pStyle w:val="ListParagraph"/>
        <w:numPr>
          <w:ilvl w:val="0"/>
          <w:numId w:val="36"/>
        </w:numPr>
        <w:rPr>
          <w:color w:val="58595B"/>
          <w:sz w:val="24"/>
          <w:szCs w:val="24"/>
        </w:rPr>
      </w:pPr>
      <w:r w:rsidRPr="00FD72C8">
        <w:rPr>
          <w:color w:val="58595B"/>
          <w:sz w:val="24"/>
          <w:szCs w:val="24"/>
        </w:rPr>
        <w:t>Country-specific sources</w:t>
      </w:r>
    </w:p>
    <w:p w14:paraId="6AA3B733" w14:textId="77777777" w:rsidR="00FD72C8" w:rsidRPr="00467993" w:rsidRDefault="00FD72C8" w:rsidP="00FD72C8">
      <w:pPr>
        <w:rPr>
          <w:color w:val="58595B"/>
        </w:rPr>
      </w:pPr>
    </w:p>
    <w:p w14:paraId="68499874" w14:textId="7C072029" w:rsidR="00254079" w:rsidRPr="00FD72C8" w:rsidRDefault="00000000">
      <w:pPr>
        <w:rPr>
          <w:color w:val="58595B"/>
          <w:sz w:val="24"/>
          <w:szCs w:val="24"/>
        </w:rPr>
      </w:pPr>
      <w:r w:rsidRPr="00FD72C8">
        <w:rPr>
          <w:color w:val="58595B"/>
          <w:sz w:val="24"/>
          <w:szCs w:val="24"/>
        </w:rPr>
        <w:t xml:space="preserve">In some cases, households may also be expected to contribute to their children’s pre-primary education, such as by contributing to school expenses, paying for school meals, and contributing to extra childcare </w:t>
      </w:r>
      <w:r w:rsidRPr="003B74ED">
        <w:rPr>
          <w:color w:val="5E646D"/>
          <w:sz w:val="24"/>
          <w:szCs w:val="24"/>
        </w:rPr>
        <w:t xml:space="preserve">time in schools. Given the high </w:t>
      </w:r>
      <w:r w:rsidRPr="00FD72C8">
        <w:rPr>
          <w:color w:val="58595B"/>
          <w:sz w:val="24"/>
          <w:szCs w:val="24"/>
        </w:rPr>
        <w:t>rate of private provision, many pre-primary centers require that parents contribute to enrolment costs.</w:t>
      </w:r>
      <w:r w:rsidR="00FD72C8">
        <w:rPr>
          <w:color w:val="58595B"/>
          <w:sz w:val="24"/>
          <w:szCs w:val="24"/>
        </w:rPr>
        <w:t xml:space="preserve"> </w:t>
      </w:r>
      <w:r w:rsidRPr="00FD72C8">
        <w:rPr>
          <w:color w:val="58595B"/>
          <w:sz w:val="24"/>
          <w:szCs w:val="24"/>
        </w:rPr>
        <w:t xml:space="preserve">Determining domestic ECE financing patterns, such as the different sources used and how these different sources provide support to the different types of pre-primary programmes in the country, may be a useful step in figuring out how to expand quality ECE. A multi-pronged approach is often needed </w:t>
      </w:r>
      <w:proofErr w:type="gramStart"/>
      <w:r w:rsidRPr="00FD72C8">
        <w:rPr>
          <w:color w:val="58595B"/>
          <w:sz w:val="24"/>
          <w:szCs w:val="24"/>
        </w:rPr>
        <w:t>in order to</w:t>
      </w:r>
      <w:proofErr w:type="gramEnd"/>
      <w:r w:rsidRPr="00FD72C8">
        <w:rPr>
          <w:color w:val="58595B"/>
          <w:sz w:val="24"/>
          <w:szCs w:val="24"/>
        </w:rPr>
        <w:t xml:space="preserve"> deal with funding aspects as well as potential quality and management issues that also have financial implications. </w:t>
      </w:r>
    </w:p>
    <w:p w14:paraId="6A6A7F97" w14:textId="77777777" w:rsidR="00254079" w:rsidRPr="00FD72C8" w:rsidRDefault="00254079">
      <w:pPr>
        <w:rPr>
          <w:color w:val="58595B"/>
          <w:sz w:val="24"/>
          <w:szCs w:val="24"/>
        </w:rPr>
      </w:pPr>
    </w:p>
    <w:p w14:paraId="5E2961CF" w14:textId="1735105B" w:rsidR="00254079" w:rsidRPr="00FD72C8" w:rsidRDefault="00000000">
      <w:pPr>
        <w:rPr>
          <w:color w:val="58595B"/>
          <w:sz w:val="24"/>
          <w:szCs w:val="24"/>
        </w:rPr>
      </w:pPr>
      <w:r w:rsidRPr="00FD72C8">
        <w:rPr>
          <w:color w:val="58595B"/>
          <w:sz w:val="24"/>
          <w:szCs w:val="24"/>
        </w:rPr>
        <w:t xml:space="preserve">An important consideration is not only to ensure that there is adequate and efficient financing for ECE, but that this financing is effective. In essence, you want to make sure that you spend efficiently but also that you are reaping as many outcomes as possible from the monies that are allocated to ECE. As such, it is important to examine ECE interventions and implementation modalities through the lens of efficiency and effectiveness to </w:t>
      </w:r>
      <w:proofErr w:type="spellStart"/>
      <w:r w:rsidRPr="00FD72C8">
        <w:rPr>
          <w:color w:val="58595B"/>
          <w:sz w:val="24"/>
          <w:szCs w:val="24"/>
        </w:rPr>
        <w:t>prioritise</w:t>
      </w:r>
      <w:proofErr w:type="spellEnd"/>
      <w:r w:rsidRPr="00FD72C8">
        <w:rPr>
          <w:color w:val="58595B"/>
          <w:sz w:val="24"/>
          <w:szCs w:val="24"/>
        </w:rPr>
        <w:t xml:space="preserve"> those that ensure the best value for money.</w:t>
      </w:r>
      <w:r w:rsidR="003C048E">
        <w:rPr>
          <w:color w:val="58595B"/>
          <w:sz w:val="24"/>
          <w:szCs w:val="24"/>
        </w:rPr>
        <w:t xml:space="preserve"> </w:t>
      </w:r>
      <w:r w:rsidRPr="00FD72C8">
        <w:rPr>
          <w:color w:val="58595B"/>
          <w:sz w:val="24"/>
          <w:szCs w:val="24"/>
        </w:rPr>
        <w:t xml:space="preserve">Of note, low public financing (especially if there is relatively high ECE coverage) in a country may raise important sustainability and equity questions, going back to the concept of ECE as a public good. While public spending on ECE is essential, and establishing long-term domestic funding for ECE, there are </w:t>
      </w:r>
      <w:hyperlink r:id="rId7">
        <w:r w:rsidRPr="00FD72C8">
          <w:rPr>
            <w:color w:val="58595B"/>
            <w:sz w:val="24"/>
            <w:szCs w:val="24"/>
            <w:u w:val="single"/>
          </w:rPr>
          <w:t>complementary</w:t>
        </w:r>
      </w:hyperlink>
      <w:hyperlink r:id="rId8">
        <w:r w:rsidRPr="00FD72C8">
          <w:rPr>
            <w:color w:val="58595B"/>
            <w:sz w:val="24"/>
            <w:szCs w:val="24"/>
            <w:u w:val="single"/>
          </w:rPr>
          <w:t xml:space="preserve"> </w:t>
        </w:r>
      </w:hyperlink>
      <w:hyperlink r:id="rId9">
        <w:r w:rsidRPr="00FD72C8">
          <w:rPr>
            <w:color w:val="58595B"/>
            <w:sz w:val="24"/>
            <w:szCs w:val="24"/>
            <w:u w:val="single"/>
          </w:rPr>
          <w:t>avenues</w:t>
        </w:r>
      </w:hyperlink>
      <w:r w:rsidRPr="00FD72C8">
        <w:rPr>
          <w:color w:val="58595B"/>
          <w:sz w:val="24"/>
          <w:szCs w:val="24"/>
        </w:rPr>
        <w:t xml:space="preserve">, such as innovative financing mechanisms, that can supplement and stimulate more conventional financing in the short-medium term. Furthermore, some innovative financing mechanisms, such as </w:t>
      </w:r>
      <w:r w:rsidR="00467993" w:rsidRPr="00FD72C8">
        <w:rPr>
          <w:color w:val="58595B"/>
          <w:sz w:val="24"/>
          <w:szCs w:val="24"/>
        </w:rPr>
        <w:t>results-based</w:t>
      </w:r>
      <w:r w:rsidRPr="00FD72C8">
        <w:rPr>
          <w:color w:val="58595B"/>
          <w:sz w:val="24"/>
          <w:szCs w:val="24"/>
        </w:rPr>
        <w:t xml:space="preserve"> financing, can also contribute to spending more effectively and reaping as many outcomes as possible from allocated monies. </w:t>
      </w:r>
    </w:p>
    <w:p w14:paraId="59716370" w14:textId="62E727A3" w:rsidR="00254079" w:rsidRPr="00FD72C8" w:rsidRDefault="00000000" w:rsidP="00160590">
      <w:pPr>
        <w:pStyle w:val="Heading1"/>
        <w:rPr>
          <w:bCs/>
          <w:color w:val="913592"/>
          <w:sz w:val="24"/>
          <w:szCs w:val="24"/>
          <w:lang w:val="en-US" w:bidi="en-US"/>
        </w:rPr>
      </w:pPr>
      <w:bookmarkStart w:id="1" w:name="_tl9wha9dudr6" w:colFirst="0" w:colLast="0"/>
      <w:bookmarkEnd w:id="1"/>
      <w:r w:rsidRPr="00FD72C8">
        <w:rPr>
          <w:bCs/>
          <w:color w:val="913592"/>
          <w:sz w:val="24"/>
          <w:szCs w:val="24"/>
          <w:lang w:val="en-US" w:bidi="en-US"/>
        </w:rPr>
        <w:lastRenderedPageBreak/>
        <w:t xml:space="preserve">Public </w:t>
      </w:r>
      <w:r w:rsidR="00FD72C8">
        <w:rPr>
          <w:bCs/>
          <w:color w:val="913592"/>
          <w:sz w:val="24"/>
          <w:szCs w:val="24"/>
          <w:lang w:val="en-US" w:bidi="en-US"/>
        </w:rPr>
        <w:t>F</w:t>
      </w:r>
      <w:r w:rsidRPr="00FD72C8">
        <w:rPr>
          <w:bCs/>
          <w:color w:val="913592"/>
          <w:sz w:val="24"/>
          <w:szCs w:val="24"/>
          <w:lang w:val="en-US" w:bidi="en-US"/>
        </w:rPr>
        <w:t>inancing for ECE</w:t>
      </w:r>
    </w:p>
    <w:p w14:paraId="6E00AD01" w14:textId="77777777" w:rsidR="00254079" w:rsidRPr="00FD72C8" w:rsidRDefault="00000000">
      <w:pPr>
        <w:spacing w:line="240" w:lineRule="auto"/>
        <w:rPr>
          <w:color w:val="58595B"/>
          <w:sz w:val="24"/>
          <w:szCs w:val="24"/>
        </w:rPr>
      </w:pPr>
      <w:r w:rsidRPr="00FD72C8">
        <w:rPr>
          <w:color w:val="58595B"/>
          <w:sz w:val="24"/>
          <w:szCs w:val="24"/>
        </w:rPr>
        <w:t xml:space="preserve">Public financing is key to ensuring sustainability when it comes to pre-primary education. The </w:t>
      </w:r>
      <w:hyperlink r:id="rId10">
        <w:r w:rsidRPr="00FD72C8">
          <w:rPr>
            <w:color w:val="58595B"/>
            <w:sz w:val="24"/>
            <w:szCs w:val="24"/>
            <w:u w:val="single"/>
          </w:rPr>
          <w:t>UNICEF programme guidance for ECD</w:t>
        </w:r>
      </w:hyperlink>
      <w:r w:rsidRPr="00FD72C8">
        <w:rPr>
          <w:color w:val="58595B"/>
          <w:sz w:val="24"/>
          <w:szCs w:val="24"/>
        </w:rPr>
        <w:t xml:space="preserve"> indicates that one of the six key implementation strategies is strengthening domestic public financing. </w:t>
      </w:r>
    </w:p>
    <w:p w14:paraId="2AFA0017" w14:textId="77777777" w:rsidR="00254079" w:rsidRPr="003C048E" w:rsidRDefault="00254079">
      <w:pPr>
        <w:spacing w:line="240" w:lineRule="auto"/>
        <w:rPr>
          <w:color w:val="58595B"/>
        </w:rPr>
      </w:pPr>
    </w:p>
    <w:tbl>
      <w:tblPr>
        <w:tblStyle w:val="a"/>
        <w:tblW w:w="9360" w:type="dxa"/>
        <w:shd w:val="clear" w:color="auto" w:fill="F2F2F2" w:themeFill="background1" w:themeFillShade="F2"/>
        <w:tblLayout w:type="fixed"/>
        <w:tblLook w:val="0600" w:firstRow="0" w:lastRow="0" w:firstColumn="0" w:lastColumn="0" w:noHBand="1" w:noVBand="1"/>
      </w:tblPr>
      <w:tblGrid>
        <w:gridCol w:w="9360"/>
      </w:tblGrid>
      <w:tr w:rsidR="00DF4EAE" w:rsidRPr="00FD72C8" w14:paraId="2BEDE7B3" w14:textId="77777777" w:rsidTr="00B32DC7">
        <w:tc>
          <w:tcPr>
            <w:tcW w:w="9360" w:type="dxa"/>
            <w:shd w:val="clear" w:color="auto" w:fill="F2F2F2" w:themeFill="background1" w:themeFillShade="F2"/>
            <w:tcMar>
              <w:top w:w="100" w:type="dxa"/>
              <w:left w:w="100" w:type="dxa"/>
              <w:bottom w:w="100" w:type="dxa"/>
              <w:right w:w="100" w:type="dxa"/>
            </w:tcMar>
          </w:tcPr>
          <w:p w14:paraId="51C1856A" w14:textId="77777777" w:rsidR="000B4AB8" w:rsidRPr="000B4AB8" w:rsidRDefault="000B4AB8" w:rsidP="000B4AB8">
            <w:pPr>
              <w:spacing w:line="240" w:lineRule="auto"/>
              <w:ind w:left="251" w:right="521"/>
              <w:rPr>
                <w:color w:val="8064A2" w:themeColor="accent4"/>
                <w:sz w:val="10"/>
                <w:szCs w:val="10"/>
              </w:rPr>
            </w:pPr>
          </w:p>
          <w:p w14:paraId="5ED47BFC" w14:textId="77777777" w:rsidR="000B4AB8" w:rsidRPr="000B4AB8" w:rsidRDefault="00000000" w:rsidP="000B4AB8">
            <w:pPr>
              <w:spacing w:line="240" w:lineRule="auto"/>
              <w:ind w:left="431" w:right="341"/>
              <w:rPr>
                <w:b/>
                <w:bCs/>
                <w:color w:val="8064A2" w:themeColor="accent4"/>
                <w:sz w:val="24"/>
                <w:szCs w:val="24"/>
              </w:rPr>
            </w:pPr>
            <w:r w:rsidRPr="000B4AB8">
              <w:rPr>
                <w:b/>
                <w:bCs/>
                <w:color w:val="8064A2" w:themeColor="accent4"/>
                <w:sz w:val="24"/>
                <w:szCs w:val="24"/>
              </w:rPr>
              <w:t xml:space="preserve">It is important to outline the resource requirements for ECE. </w:t>
            </w:r>
          </w:p>
          <w:p w14:paraId="258B1AC0" w14:textId="77777777" w:rsidR="000B4AB8" w:rsidRDefault="00000000" w:rsidP="000B4AB8">
            <w:pPr>
              <w:spacing w:line="240" w:lineRule="auto"/>
              <w:ind w:left="431" w:right="341"/>
              <w:rPr>
                <w:b/>
                <w:bCs/>
                <w:color w:val="8064A2" w:themeColor="accent4"/>
                <w:sz w:val="24"/>
                <w:szCs w:val="24"/>
              </w:rPr>
            </w:pPr>
            <w:r w:rsidRPr="000B4AB8">
              <w:rPr>
                <w:b/>
                <w:bCs/>
                <w:color w:val="8064A2" w:themeColor="accent4"/>
                <w:sz w:val="24"/>
                <w:szCs w:val="24"/>
              </w:rPr>
              <w:t xml:space="preserve">Financing should follow the needs outlined through an extensive </w:t>
            </w:r>
          </w:p>
          <w:p w14:paraId="375735C6" w14:textId="77777777" w:rsidR="000B4AB8" w:rsidRDefault="00000000" w:rsidP="000B4AB8">
            <w:pPr>
              <w:spacing w:line="240" w:lineRule="auto"/>
              <w:ind w:left="431" w:right="341"/>
              <w:rPr>
                <w:b/>
                <w:bCs/>
                <w:color w:val="8064A2" w:themeColor="accent4"/>
                <w:sz w:val="24"/>
                <w:szCs w:val="24"/>
              </w:rPr>
            </w:pPr>
            <w:r w:rsidRPr="000B4AB8">
              <w:rPr>
                <w:b/>
                <w:bCs/>
                <w:color w:val="8064A2" w:themeColor="accent4"/>
                <w:sz w:val="24"/>
                <w:szCs w:val="24"/>
              </w:rPr>
              <w:t xml:space="preserve">needs assessment process. The </w:t>
            </w:r>
            <w:hyperlink r:id="rId11">
              <w:r w:rsidRPr="000B4AB8">
                <w:rPr>
                  <w:b/>
                  <w:bCs/>
                  <w:color w:val="8064A2" w:themeColor="accent4"/>
                  <w:sz w:val="24"/>
                  <w:szCs w:val="24"/>
                  <w:u w:val="single"/>
                </w:rPr>
                <w:t>ECE Simulation Model</w:t>
              </w:r>
            </w:hyperlink>
            <w:r w:rsidRPr="000B4AB8">
              <w:rPr>
                <w:b/>
                <w:bCs/>
                <w:color w:val="8064A2" w:themeColor="accent4"/>
                <w:sz w:val="24"/>
                <w:szCs w:val="24"/>
              </w:rPr>
              <w:t xml:space="preserve"> is a tool that </w:t>
            </w:r>
          </w:p>
          <w:p w14:paraId="26E0A8AD" w14:textId="77777777" w:rsidR="000B4AB8" w:rsidRDefault="00000000" w:rsidP="000B4AB8">
            <w:pPr>
              <w:spacing w:line="240" w:lineRule="auto"/>
              <w:ind w:left="431" w:right="341"/>
              <w:rPr>
                <w:b/>
                <w:bCs/>
                <w:color w:val="8064A2" w:themeColor="accent4"/>
                <w:sz w:val="24"/>
                <w:szCs w:val="24"/>
              </w:rPr>
            </w:pPr>
            <w:r w:rsidRPr="000B4AB8">
              <w:rPr>
                <w:b/>
                <w:bCs/>
                <w:color w:val="8064A2" w:themeColor="accent4"/>
                <w:sz w:val="24"/>
                <w:szCs w:val="24"/>
              </w:rPr>
              <w:t xml:space="preserve">can support countries in estimating needs to ensure universal </w:t>
            </w:r>
            <w:proofErr w:type="gramStart"/>
            <w:r w:rsidRPr="000B4AB8">
              <w:rPr>
                <w:b/>
                <w:bCs/>
                <w:color w:val="8064A2" w:themeColor="accent4"/>
                <w:sz w:val="24"/>
                <w:szCs w:val="24"/>
              </w:rPr>
              <w:t>access</w:t>
            </w:r>
            <w:proofErr w:type="gramEnd"/>
            <w:r w:rsidRPr="000B4AB8">
              <w:rPr>
                <w:b/>
                <w:bCs/>
                <w:color w:val="8064A2" w:themeColor="accent4"/>
                <w:sz w:val="24"/>
                <w:szCs w:val="24"/>
              </w:rPr>
              <w:t xml:space="preserve"> </w:t>
            </w:r>
          </w:p>
          <w:p w14:paraId="1C0E673D" w14:textId="70BA2DE3" w:rsidR="00254079" w:rsidRPr="000B4AB8" w:rsidRDefault="00000000" w:rsidP="000B4AB8">
            <w:pPr>
              <w:spacing w:line="240" w:lineRule="auto"/>
              <w:ind w:left="431" w:right="341"/>
              <w:rPr>
                <w:b/>
                <w:bCs/>
                <w:color w:val="8064A2" w:themeColor="accent4"/>
                <w:sz w:val="24"/>
                <w:szCs w:val="24"/>
              </w:rPr>
            </w:pPr>
            <w:r w:rsidRPr="000B4AB8">
              <w:rPr>
                <w:b/>
                <w:bCs/>
                <w:color w:val="8064A2" w:themeColor="accent4"/>
                <w:sz w:val="24"/>
                <w:szCs w:val="24"/>
              </w:rPr>
              <w:t xml:space="preserve">to pre-primary education. The </w:t>
            </w:r>
            <w:r w:rsidR="000B4AB8" w:rsidRPr="000B4AB8">
              <w:rPr>
                <w:b/>
                <w:bCs/>
                <w:color w:val="8064A2" w:themeColor="accent4"/>
                <w:sz w:val="24"/>
                <w:szCs w:val="24"/>
              </w:rPr>
              <w:t>S</w:t>
            </w:r>
            <w:r w:rsidRPr="000B4AB8">
              <w:rPr>
                <w:b/>
                <w:bCs/>
                <w:color w:val="8064A2" w:themeColor="accent4"/>
                <w:sz w:val="24"/>
                <w:szCs w:val="24"/>
              </w:rPr>
              <w:t xml:space="preserve">imulation </w:t>
            </w:r>
            <w:r w:rsidR="000B4AB8" w:rsidRPr="000B4AB8">
              <w:rPr>
                <w:b/>
                <w:bCs/>
                <w:color w:val="8064A2" w:themeColor="accent4"/>
                <w:sz w:val="24"/>
                <w:szCs w:val="24"/>
              </w:rPr>
              <w:t>M</w:t>
            </w:r>
            <w:r w:rsidRPr="000B4AB8">
              <w:rPr>
                <w:b/>
                <w:bCs/>
                <w:color w:val="8064A2" w:themeColor="accent4"/>
                <w:sz w:val="24"/>
                <w:szCs w:val="24"/>
              </w:rPr>
              <w:t>odel also provides a</w:t>
            </w:r>
            <w:r w:rsidR="000B4AB8" w:rsidRPr="000B4AB8">
              <w:rPr>
                <w:b/>
                <w:bCs/>
                <w:color w:val="8064A2" w:themeColor="accent4"/>
                <w:sz w:val="24"/>
                <w:szCs w:val="24"/>
              </w:rPr>
              <w:t xml:space="preserve"> </w:t>
            </w:r>
            <w:r w:rsidRPr="000B4AB8">
              <w:rPr>
                <w:b/>
                <w:bCs/>
                <w:color w:val="8064A2" w:themeColor="accent4"/>
                <w:sz w:val="24"/>
                <w:szCs w:val="24"/>
              </w:rPr>
              <w:t>detailed outlook of the human, infrastructural, and financial resources needed to meet country targets for the provision of ECE as defined by national</w:t>
            </w:r>
            <w:r w:rsidR="000B4AB8">
              <w:rPr>
                <w:b/>
                <w:bCs/>
                <w:color w:val="8064A2" w:themeColor="accent4"/>
                <w:sz w:val="24"/>
                <w:szCs w:val="24"/>
              </w:rPr>
              <w:t xml:space="preserve"> </w:t>
            </w:r>
            <w:r w:rsidRPr="000B4AB8">
              <w:rPr>
                <w:b/>
                <w:bCs/>
                <w:color w:val="8064A2" w:themeColor="accent4"/>
                <w:sz w:val="24"/>
                <w:szCs w:val="24"/>
              </w:rPr>
              <w:t xml:space="preserve">ESPs. </w:t>
            </w:r>
          </w:p>
          <w:p w14:paraId="53E24E97" w14:textId="77777777" w:rsidR="000B4AB8" w:rsidRPr="000B4AB8" w:rsidRDefault="000B4AB8">
            <w:pPr>
              <w:spacing w:line="240" w:lineRule="auto"/>
              <w:rPr>
                <w:color w:val="58595B"/>
                <w:sz w:val="10"/>
                <w:szCs w:val="10"/>
              </w:rPr>
            </w:pPr>
          </w:p>
        </w:tc>
      </w:tr>
    </w:tbl>
    <w:p w14:paraId="60DE86A2" w14:textId="77777777" w:rsidR="00254079" w:rsidRPr="003C048E" w:rsidRDefault="00254079">
      <w:pPr>
        <w:spacing w:line="240" w:lineRule="auto"/>
        <w:rPr>
          <w:color w:val="58595B"/>
        </w:rPr>
      </w:pPr>
    </w:p>
    <w:p w14:paraId="53DFCF10" w14:textId="77777777" w:rsidR="00254079" w:rsidRPr="00FD72C8" w:rsidRDefault="00000000">
      <w:pPr>
        <w:spacing w:line="240" w:lineRule="auto"/>
        <w:rPr>
          <w:color w:val="58595B"/>
          <w:sz w:val="24"/>
          <w:szCs w:val="24"/>
        </w:rPr>
      </w:pPr>
      <w:r w:rsidRPr="00FD72C8">
        <w:rPr>
          <w:color w:val="58595B"/>
          <w:sz w:val="24"/>
          <w:szCs w:val="24"/>
        </w:rPr>
        <w:t xml:space="preserve">Public financing for ECE is important because it is more predictable and sustainable - items in national budgets are likely to remain there. There is also an equity aspect in that, unlike other funding sources, public financing can finance services in areas and populations where the availability of other sources is lower, such as when families cannot afford the extra costs. Further, there is a significant positive relationship between the amount of funds allocated to pre-primary education and the percentage of children who are enrolled in pre-primary education, even after controlling for country wealth, </w:t>
      </w:r>
      <w:proofErr w:type="gramStart"/>
      <w:r w:rsidRPr="00FD72C8">
        <w:rPr>
          <w:color w:val="58595B"/>
          <w:sz w:val="24"/>
          <w:szCs w:val="24"/>
        </w:rPr>
        <w:t>demography</w:t>
      </w:r>
      <w:proofErr w:type="gramEnd"/>
      <w:r w:rsidRPr="00FD72C8">
        <w:rPr>
          <w:color w:val="58595B"/>
          <w:sz w:val="24"/>
          <w:szCs w:val="24"/>
        </w:rPr>
        <w:t xml:space="preserve"> and the overall education budget. However, many countries underinvest in pre-primary education, with the amount dedicated to pre-primary education often falling far short of the recommended 10% of the education budget. </w:t>
      </w:r>
    </w:p>
    <w:p w14:paraId="4C178D53" w14:textId="77777777" w:rsidR="00254079" w:rsidRPr="00FD72C8" w:rsidRDefault="00254079">
      <w:pPr>
        <w:spacing w:line="240" w:lineRule="auto"/>
        <w:rPr>
          <w:color w:val="58595B"/>
          <w:sz w:val="24"/>
          <w:szCs w:val="24"/>
        </w:rPr>
      </w:pPr>
    </w:p>
    <w:p w14:paraId="3E95944D" w14:textId="77777777" w:rsidR="00254079" w:rsidRPr="00FD72C8" w:rsidRDefault="00000000">
      <w:pPr>
        <w:spacing w:line="240" w:lineRule="auto"/>
        <w:rPr>
          <w:color w:val="58595B"/>
          <w:sz w:val="24"/>
          <w:szCs w:val="24"/>
        </w:rPr>
      </w:pPr>
      <w:r w:rsidRPr="00FD72C8">
        <w:rPr>
          <w:color w:val="58595B"/>
          <w:sz w:val="24"/>
          <w:szCs w:val="24"/>
        </w:rPr>
        <w:t xml:space="preserve">However, improving the situation of pre-primary education in national budgets is not as simple as moving money from one subsector to another. Rather, strategies to increase pre-primary financing may include lowering the government unit cost of higher levels of education through innovation, greater efficiency and cost-sharing mechanisms that prioritize the use of public resources for the most marginalized populations. Additionally, funding the pre-primary subsector is linked to efficiencies in the primary and secondary subsectors associated with the benefits gained by increasing enrolment in pre-primary education. </w:t>
      </w:r>
    </w:p>
    <w:p w14:paraId="0B671E13" w14:textId="77777777" w:rsidR="00254079" w:rsidRPr="00FD72C8" w:rsidRDefault="00254079">
      <w:pPr>
        <w:spacing w:line="240" w:lineRule="auto"/>
        <w:rPr>
          <w:color w:val="58595B"/>
          <w:sz w:val="24"/>
          <w:szCs w:val="24"/>
        </w:rPr>
      </w:pPr>
    </w:p>
    <w:p w14:paraId="1601CA88" w14:textId="4B4B04E4" w:rsidR="003C048E" w:rsidRPr="003C048E" w:rsidRDefault="00000000">
      <w:pPr>
        <w:spacing w:line="240" w:lineRule="auto"/>
        <w:rPr>
          <w:b/>
          <w:bCs/>
          <w:color w:val="8064A2" w:themeColor="accent4"/>
          <w:sz w:val="24"/>
          <w:szCs w:val="24"/>
        </w:rPr>
      </w:pPr>
      <w:r w:rsidRPr="000B4AB8">
        <w:rPr>
          <w:b/>
          <w:bCs/>
          <w:color w:val="8064A2" w:themeColor="accent4"/>
          <w:sz w:val="24"/>
          <w:szCs w:val="24"/>
        </w:rPr>
        <w:t>The following recommendations address how public financing for ECE can be strengthened:</w:t>
      </w:r>
    </w:p>
    <w:p w14:paraId="36A59967" w14:textId="0D1A4A4A" w:rsidR="00254079" w:rsidRPr="00FD72C8" w:rsidRDefault="00000000" w:rsidP="00FD72C8">
      <w:pPr>
        <w:numPr>
          <w:ilvl w:val="0"/>
          <w:numId w:val="37"/>
        </w:numPr>
        <w:spacing w:line="240" w:lineRule="auto"/>
        <w:rPr>
          <w:color w:val="58595B"/>
          <w:sz w:val="24"/>
          <w:szCs w:val="24"/>
        </w:rPr>
      </w:pPr>
      <w:r w:rsidRPr="00FD72C8">
        <w:rPr>
          <w:color w:val="58595B"/>
          <w:sz w:val="24"/>
          <w:szCs w:val="24"/>
        </w:rPr>
        <w:t xml:space="preserve">Place pre-primary education on a firm financial footing by progressively increasing ECE budgets to reach the suggested allocation of </w:t>
      </w:r>
      <w:r w:rsidRPr="00FD72C8">
        <w:rPr>
          <w:color w:val="58595B"/>
          <w:sz w:val="24"/>
          <w:szCs w:val="24"/>
          <w:highlight w:val="white"/>
        </w:rPr>
        <w:t>10 per cent</w:t>
      </w:r>
      <w:r w:rsidRPr="00FD72C8">
        <w:rPr>
          <w:color w:val="58595B"/>
          <w:sz w:val="24"/>
          <w:szCs w:val="24"/>
        </w:rPr>
        <w:t xml:space="preserve"> of education budgets to the subsector</w:t>
      </w:r>
      <w:r w:rsidR="003C048E">
        <w:rPr>
          <w:color w:val="58595B"/>
          <w:sz w:val="24"/>
          <w:szCs w:val="24"/>
        </w:rPr>
        <w:t>.</w:t>
      </w:r>
    </w:p>
    <w:p w14:paraId="09FAC84E" w14:textId="4311604B" w:rsidR="00254079" w:rsidRPr="00FD72C8" w:rsidRDefault="00000000" w:rsidP="00FD72C8">
      <w:pPr>
        <w:numPr>
          <w:ilvl w:val="0"/>
          <w:numId w:val="37"/>
        </w:numPr>
        <w:spacing w:line="240" w:lineRule="auto"/>
        <w:rPr>
          <w:color w:val="58595B"/>
          <w:sz w:val="24"/>
          <w:szCs w:val="24"/>
        </w:rPr>
      </w:pPr>
      <w:r w:rsidRPr="00FD72C8">
        <w:rPr>
          <w:color w:val="58595B"/>
          <w:sz w:val="24"/>
          <w:szCs w:val="24"/>
        </w:rPr>
        <w:t xml:space="preserve">Use available resources more equitably and efficiently, </w:t>
      </w:r>
      <w:r w:rsidR="003C048E" w:rsidRPr="00FD72C8">
        <w:rPr>
          <w:color w:val="58595B"/>
          <w:sz w:val="24"/>
          <w:szCs w:val="24"/>
        </w:rPr>
        <w:t>namely,</w:t>
      </w:r>
      <w:r w:rsidRPr="00FD72C8">
        <w:rPr>
          <w:color w:val="58595B"/>
          <w:sz w:val="24"/>
          <w:szCs w:val="24"/>
        </w:rPr>
        <w:t xml:space="preserve"> to track expenditures to pinpoint areas needing the most improvement, while monitoring efficiency and financing gaps</w:t>
      </w:r>
      <w:r w:rsidR="003C048E">
        <w:rPr>
          <w:color w:val="58595B"/>
          <w:sz w:val="24"/>
          <w:szCs w:val="24"/>
        </w:rPr>
        <w:t>.</w:t>
      </w:r>
    </w:p>
    <w:p w14:paraId="74E3218A" w14:textId="664E3112" w:rsidR="00254079" w:rsidRPr="00FD72C8" w:rsidRDefault="00000000" w:rsidP="00FD72C8">
      <w:pPr>
        <w:numPr>
          <w:ilvl w:val="0"/>
          <w:numId w:val="37"/>
        </w:numPr>
        <w:spacing w:line="240" w:lineRule="auto"/>
        <w:rPr>
          <w:color w:val="58595B"/>
          <w:sz w:val="24"/>
          <w:szCs w:val="24"/>
        </w:rPr>
      </w:pPr>
      <w:r w:rsidRPr="00FD72C8">
        <w:rPr>
          <w:color w:val="58595B"/>
          <w:sz w:val="24"/>
          <w:szCs w:val="24"/>
        </w:rPr>
        <w:t>Coordinate national and subnational budgets, while building accountability mechanisms and capacities for implementation</w:t>
      </w:r>
      <w:r w:rsidR="003C048E">
        <w:rPr>
          <w:color w:val="58595B"/>
          <w:sz w:val="24"/>
          <w:szCs w:val="24"/>
        </w:rPr>
        <w:t>.</w:t>
      </w:r>
    </w:p>
    <w:p w14:paraId="07C5577B" w14:textId="66274F4E" w:rsidR="00254079" w:rsidRDefault="00000000" w:rsidP="003C048E">
      <w:pPr>
        <w:numPr>
          <w:ilvl w:val="0"/>
          <w:numId w:val="37"/>
        </w:numPr>
        <w:spacing w:line="240" w:lineRule="auto"/>
        <w:rPr>
          <w:color w:val="58595B"/>
          <w:sz w:val="24"/>
          <w:szCs w:val="24"/>
        </w:rPr>
      </w:pPr>
      <w:r w:rsidRPr="00FD72C8">
        <w:rPr>
          <w:color w:val="58595B"/>
          <w:sz w:val="24"/>
          <w:szCs w:val="24"/>
        </w:rPr>
        <w:t>Progressively increase international education aid to pre-primary education to at least 10 per ce</w:t>
      </w:r>
      <w:r w:rsidRPr="00FD72C8">
        <w:rPr>
          <w:color w:val="58595B"/>
          <w:sz w:val="24"/>
          <w:szCs w:val="24"/>
          <w:highlight w:val="white"/>
        </w:rPr>
        <w:t>nt of int</w:t>
      </w:r>
      <w:r w:rsidRPr="00FD72C8">
        <w:rPr>
          <w:color w:val="58595B"/>
          <w:sz w:val="24"/>
          <w:szCs w:val="24"/>
        </w:rPr>
        <w:t xml:space="preserve">ernational education investments, </w:t>
      </w:r>
      <w:proofErr w:type="spellStart"/>
      <w:r w:rsidRPr="00FD72C8">
        <w:rPr>
          <w:color w:val="58595B"/>
          <w:sz w:val="24"/>
          <w:szCs w:val="24"/>
        </w:rPr>
        <w:t>catalysing</w:t>
      </w:r>
      <w:proofErr w:type="spellEnd"/>
      <w:r w:rsidRPr="00FD72C8">
        <w:rPr>
          <w:color w:val="58595B"/>
          <w:sz w:val="24"/>
          <w:szCs w:val="24"/>
        </w:rPr>
        <w:t xml:space="preserve"> and complementing public resources</w:t>
      </w:r>
      <w:r w:rsidR="003C048E">
        <w:rPr>
          <w:color w:val="58595B"/>
          <w:sz w:val="24"/>
          <w:szCs w:val="24"/>
        </w:rPr>
        <w:t>.</w:t>
      </w:r>
    </w:p>
    <w:p w14:paraId="67A625EC" w14:textId="77777777" w:rsidR="00975857" w:rsidRPr="003C048E" w:rsidRDefault="00975857" w:rsidP="00975857">
      <w:pPr>
        <w:spacing w:line="240" w:lineRule="auto"/>
        <w:ind w:left="720"/>
        <w:rPr>
          <w:color w:val="58595B"/>
          <w:sz w:val="24"/>
          <w:szCs w:val="24"/>
        </w:rPr>
      </w:pPr>
    </w:p>
    <w:p w14:paraId="2B726F70" w14:textId="594D4EA4" w:rsidR="00254079" w:rsidRPr="000B4AB8" w:rsidRDefault="00000000" w:rsidP="000B4AB8">
      <w:pPr>
        <w:spacing w:line="240" w:lineRule="auto"/>
        <w:rPr>
          <w:b/>
          <w:bCs/>
          <w:color w:val="58595B"/>
          <w:sz w:val="24"/>
          <w:szCs w:val="24"/>
        </w:rPr>
      </w:pPr>
      <w:r w:rsidRPr="003C048E">
        <w:rPr>
          <w:color w:val="58595B"/>
          <w:sz w:val="24"/>
          <w:szCs w:val="24"/>
        </w:rPr>
        <w:t>For the sources of this information, as well as further reading, see</w:t>
      </w:r>
      <w:r w:rsidR="006F13B4" w:rsidRPr="003C048E">
        <w:rPr>
          <w:color w:val="58595B"/>
          <w:sz w:val="24"/>
          <w:szCs w:val="24"/>
        </w:rPr>
        <w:t>:</w:t>
      </w:r>
      <w:r w:rsidR="000B4AB8" w:rsidRPr="003C048E">
        <w:rPr>
          <w:color w:val="58595B"/>
          <w:sz w:val="24"/>
          <w:szCs w:val="24"/>
        </w:rPr>
        <w:t xml:space="preserve"> </w:t>
      </w:r>
      <w:r w:rsidRPr="003C048E">
        <w:rPr>
          <w:color w:val="58595B"/>
          <w:sz w:val="24"/>
          <w:szCs w:val="24"/>
        </w:rPr>
        <w:t>Chapter</w:t>
      </w:r>
      <w:r w:rsidRPr="000B4AB8">
        <w:rPr>
          <w:color w:val="58595B"/>
          <w:sz w:val="24"/>
          <w:szCs w:val="24"/>
        </w:rPr>
        <w:t xml:space="preserve"> 4 in </w:t>
      </w:r>
      <w:hyperlink r:id="rId12">
        <w:r w:rsidRPr="000B4AB8">
          <w:rPr>
            <w:i/>
            <w:color w:val="58595B"/>
            <w:sz w:val="24"/>
            <w:szCs w:val="24"/>
            <w:u w:val="single"/>
          </w:rPr>
          <w:t>A world ready to learn</w:t>
        </w:r>
      </w:hyperlink>
      <w:r w:rsidR="000B4AB8">
        <w:rPr>
          <w:i/>
          <w:color w:val="58595B"/>
          <w:sz w:val="24"/>
          <w:szCs w:val="24"/>
        </w:rPr>
        <w:t xml:space="preserve">, </w:t>
      </w:r>
      <w:r w:rsidRPr="000B4AB8">
        <w:rPr>
          <w:color w:val="58595B"/>
          <w:sz w:val="24"/>
          <w:szCs w:val="24"/>
        </w:rPr>
        <w:t xml:space="preserve"> </w:t>
      </w:r>
      <w:hyperlink r:id="rId13">
        <w:r w:rsidRPr="000B4AB8">
          <w:rPr>
            <w:i/>
            <w:color w:val="58595B"/>
            <w:sz w:val="24"/>
            <w:szCs w:val="24"/>
            <w:u w:val="single"/>
          </w:rPr>
          <w:t>Add today multiply tomorrow: Building an investment case for early childhood education</w:t>
        </w:r>
      </w:hyperlink>
      <w:r w:rsidR="000B4AB8">
        <w:rPr>
          <w:color w:val="58595B"/>
          <w:sz w:val="24"/>
          <w:szCs w:val="24"/>
        </w:rPr>
        <w:t xml:space="preserve">, and </w:t>
      </w:r>
      <w:hyperlink r:id="rId14">
        <w:r w:rsidR="00160590" w:rsidRPr="000B4AB8">
          <w:rPr>
            <w:color w:val="58595B"/>
            <w:sz w:val="24"/>
            <w:szCs w:val="24"/>
            <w:u w:val="single"/>
          </w:rPr>
          <w:t xml:space="preserve">Global resource guide on public finance for children in early childhood development </w:t>
        </w:r>
      </w:hyperlink>
      <w:r w:rsidR="00160590" w:rsidRPr="000B4AB8">
        <w:rPr>
          <w:color w:val="58595B"/>
          <w:sz w:val="24"/>
          <w:szCs w:val="24"/>
        </w:rPr>
        <w:t xml:space="preserve">(UNICEF, 2019). </w:t>
      </w:r>
      <w:r w:rsidR="000B4AB8">
        <w:rPr>
          <w:color w:val="58595B"/>
          <w:sz w:val="24"/>
          <w:szCs w:val="24"/>
        </w:rPr>
        <w:t xml:space="preserve">The Global </w:t>
      </w:r>
      <w:r w:rsidR="00160590" w:rsidRPr="000B4AB8">
        <w:rPr>
          <w:color w:val="58595B"/>
          <w:sz w:val="24"/>
          <w:szCs w:val="24"/>
        </w:rPr>
        <w:t>resource guide explains how to diagnose and analyze public finance issues for early childhood development in different country contexts and describes core actions and key analytical tools to generate essential evidence for policy, advocacy, and budgetary decision-making purposes.</w:t>
      </w:r>
    </w:p>
    <w:p w14:paraId="0E18C410" w14:textId="77777777" w:rsidR="00254079" w:rsidRPr="00FD72C8" w:rsidRDefault="00254079">
      <w:pPr>
        <w:spacing w:line="240" w:lineRule="auto"/>
        <w:rPr>
          <w:b/>
          <w:color w:val="58595B"/>
          <w:sz w:val="24"/>
          <w:szCs w:val="24"/>
        </w:rPr>
      </w:pPr>
    </w:p>
    <w:p w14:paraId="438CA043" w14:textId="075170E5" w:rsidR="00254079" w:rsidRPr="00FD72C8" w:rsidRDefault="00000000" w:rsidP="00160590">
      <w:pPr>
        <w:pStyle w:val="Heading1"/>
        <w:rPr>
          <w:bCs/>
          <w:color w:val="913592"/>
          <w:sz w:val="24"/>
          <w:szCs w:val="24"/>
          <w:lang w:val="en-US" w:bidi="en-US"/>
        </w:rPr>
      </w:pPr>
      <w:bookmarkStart w:id="2" w:name="_qs0456o23qv3" w:colFirst="0" w:colLast="0"/>
      <w:bookmarkEnd w:id="2"/>
      <w:r w:rsidRPr="00FD72C8">
        <w:rPr>
          <w:bCs/>
          <w:color w:val="913592"/>
          <w:sz w:val="24"/>
          <w:szCs w:val="24"/>
          <w:lang w:val="en-US" w:bidi="en-US"/>
        </w:rPr>
        <w:t xml:space="preserve">Innovative </w:t>
      </w:r>
      <w:r w:rsidR="00FD72C8">
        <w:rPr>
          <w:bCs/>
          <w:color w:val="913592"/>
          <w:sz w:val="24"/>
          <w:szCs w:val="24"/>
          <w:lang w:val="en-US" w:bidi="en-US"/>
        </w:rPr>
        <w:t>F</w:t>
      </w:r>
      <w:r w:rsidRPr="00FD72C8">
        <w:rPr>
          <w:bCs/>
          <w:color w:val="913592"/>
          <w:sz w:val="24"/>
          <w:szCs w:val="24"/>
          <w:lang w:val="en-US" w:bidi="en-US"/>
        </w:rPr>
        <w:t>inancing</w:t>
      </w:r>
    </w:p>
    <w:p w14:paraId="09357C3D" w14:textId="77777777" w:rsidR="003C048E" w:rsidRDefault="00000000">
      <w:pPr>
        <w:spacing w:line="240" w:lineRule="auto"/>
        <w:rPr>
          <w:color w:val="58595B"/>
          <w:sz w:val="24"/>
          <w:szCs w:val="24"/>
        </w:rPr>
      </w:pPr>
      <w:r w:rsidRPr="00FD72C8">
        <w:rPr>
          <w:color w:val="58595B"/>
          <w:sz w:val="24"/>
          <w:szCs w:val="24"/>
        </w:rPr>
        <w:t>Innovative financing is defined as a “set of financial solutions and mechanisms that create scalable and effective ways of channeling both private money from the global financial markets and public resources towards solving pressing global problems” (</w:t>
      </w:r>
      <w:hyperlink r:id="rId15">
        <w:r w:rsidRPr="00FD72C8">
          <w:rPr>
            <w:color w:val="58595B"/>
            <w:sz w:val="24"/>
            <w:szCs w:val="24"/>
            <w:u w:val="single"/>
          </w:rPr>
          <w:t>ILO</w:t>
        </w:r>
      </w:hyperlink>
      <w:r w:rsidRPr="00FD72C8">
        <w:rPr>
          <w:color w:val="58595B"/>
          <w:sz w:val="24"/>
          <w:szCs w:val="24"/>
        </w:rPr>
        <w:t xml:space="preserve">), such as scaling up ECE. </w:t>
      </w:r>
    </w:p>
    <w:p w14:paraId="6BCDB2C8" w14:textId="77777777" w:rsidR="003C048E" w:rsidRDefault="003C048E">
      <w:pPr>
        <w:spacing w:line="240" w:lineRule="auto"/>
        <w:rPr>
          <w:color w:val="58595B"/>
          <w:sz w:val="24"/>
          <w:szCs w:val="24"/>
        </w:rPr>
      </w:pPr>
    </w:p>
    <w:p w14:paraId="04ED00E3" w14:textId="63EBE56F" w:rsidR="00254079" w:rsidRPr="00FD72C8" w:rsidRDefault="00000000">
      <w:pPr>
        <w:spacing w:line="240" w:lineRule="auto"/>
        <w:rPr>
          <w:color w:val="58595B"/>
          <w:sz w:val="24"/>
          <w:szCs w:val="24"/>
        </w:rPr>
      </w:pPr>
      <w:r w:rsidRPr="00FD72C8">
        <w:rPr>
          <w:color w:val="58595B"/>
          <w:sz w:val="24"/>
          <w:szCs w:val="24"/>
        </w:rPr>
        <w:t>Innovative financing is designed to complement traditional international resource flows, such as aid and foreign direct investment, in order to mobilize additional resources for development (</w:t>
      </w:r>
      <w:hyperlink r:id="rId16">
        <w:r w:rsidRPr="00FD72C8">
          <w:rPr>
            <w:color w:val="58595B"/>
            <w:sz w:val="24"/>
            <w:szCs w:val="24"/>
            <w:u w:val="single"/>
          </w:rPr>
          <w:t>Citigroup, 2014</w:t>
        </w:r>
      </w:hyperlink>
      <w:r w:rsidRPr="00FD72C8">
        <w:rPr>
          <w:color w:val="58595B"/>
          <w:sz w:val="24"/>
          <w:szCs w:val="24"/>
        </w:rPr>
        <w:t xml:space="preserve">). Some innovative financing mechanisms, such as </w:t>
      </w:r>
      <w:r w:rsidR="006F13B4" w:rsidRPr="00FD72C8">
        <w:rPr>
          <w:color w:val="58595B"/>
          <w:sz w:val="24"/>
          <w:szCs w:val="24"/>
        </w:rPr>
        <w:t>results-based</w:t>
      </w:r>
      <w:r w:rsidRPr="00FD72C8">
        <w:rPr>
          <w:color w:val="58595B"/>
          <w:sz w:val="24"/>
          <w:szCs w:val="24"/>
        </w:rPr>
        <w:t xml:space="preserve"> financing, also aim at using resources more effectively towards the achievement of the desired outcomes. </w:t>
      </w:r>
    </w:p>
    <w:p w14:paraId="1347B013" w14:textId="77777777" w:rsidR="00254079" w:rsidRPr="00FD72C8" w:rsidRDefault="00254079">
      <w:pPr>
        <w:spacing w:line="240" w:lineRule="auto"/>
        <w:rPr>
          <w:color w:val="58595B"/>
          <w:sz w:val="24"/>
          <w:szCs w:val="24"/>
        </w:rPr>
      </w:pPr>
    </w:p>
    <w:p w14:paraId="403A97CD" w14:textId="77777777" w:rsidR="00254079" w:rsidRPr="00FD72C8" w:rsidRDefault="00000000">
      <w:pPr>
        <w:spacing w:line="240" w:lineRule="auto"/>
        <w:rPr>
          <w:color w:val="58595B"/>
          <w:sz w:val="24"/>
          <w:szCs w:val="24"/>
        </w:rPr>
      </w:pPr>
      <w:r w:rsidRPr="00FD72C8">
        <w:rPr>
          <w:color w:val="58595B"/>
          <w:sz w:val="24"/>
          <w:szCs w:val="24"/>
        </w:rPr>
        <w:t xml:space="preserve">One way to conceptualize innovative financing is to think about </w:t>
      </w:r>
      <w:hyperlink r:id="rId17">
        <w:r w:rsidRPr="00FD72C8">
          <w:rPr>
            <w:color w:val="58595B"/>
            <w:sz w:val="24"/>
            <w:szCs w:val="24"/>
            <w:u w:val="single"/>
          </w:rPr>
          <w:t xml:space="preserve">innovative </w:t>
        </w:r>
      </w:hyperlink>
      <w:hyperlink r:id="rId18">
        <w:r w:rsidRPr="00FD72C8">
          <w:rPr>
            <w:i/>
            <w:color w:val="58595B"/>
            <w:sz w:val="24"/>
            <w:szCs w:val="24"/>
            <w:u w:val="single"/>
          </w:rPr>
          <w:t>sources</w:t>
        </w:r>
      </w:hyperlink>
      <w:hyperlink r:id="rId19">
        <w:r w:rsidRPr="00FD72C8">
          <w:rPr>
            <w:color w:val="58595B"/>
            <w:sz w:val="24"/>
            <w:szCs w:val="24"/>
            <w:u w:val="single"/>
          </w:rPr>
          <w:t xml:space="preserve"> of financing and innovative </w:t>
        </w:r>
      </w:hyperlink>
      <w:hyperlink r:id="rId20">
        <w:r w:rsidRPr="00FD72C8">
          <w:rPr>
            <w:i/>
            <w:color w:val="58595B"/>
            <w:sz w:val="24"/>
            <w:szCs w:val="24"/>
            <w:u w:val="single"/>
          </w:rPr>
          <w:t>delivery mechanisms</w:t>
        </w:r>
      </w:hyperlink>
      <w:hyperlink r:id="rId21">
        <w:r w:rsidRPr="00FD72C8">
          <w:rPr>
            <w:color w:val="58595B"/>
            <w:sz w:val="24"/>
            <w:szCs w:val="24"/>
            <w:u w:val="single"/>
          </w:rPr>
          <w:t xml:space="preserve"> for financing</w:t>
        </w:r>
      </w:hyperlink>
      <w:r w:rsidRPr="00FD72C8">
        <w:rPr>
          <w:color w:val="58595B"/>
          <w:sz w:val="24"/>
          <w:szCs w:val="24"/>
        </w:rPr>
        <w:t xml:space="preserve">. Innovative sources help generate new financial flows that may come from various economic sectors and can include both repayable and nonrepayable sources. </w:t>
      </w:r>
    </w:p>
    <w:p w14:paraId="22DE7794" w14:textId="77777777" w:rsidR="00254079" w:rsidRPr="00FD72C8" w:rsidRDefault="00254079">
      <w:pPr>
        <w:spacing w:line="240" w:lineRule="auto"/>
        <w:rPr>
          <w:color w:val="58595B"/>
          <w:sz w:val="24"/>
          <w:szCs w:val="24"/>
        </w:rPr>
      </w:pPr>
    </w:p>
    <w:p w14:paraId="30F667EE" w14:textId="1AF02602" w:rsidR="00254079" w:rsidRDefault="00160590">
      <w:pPr>
        <w:spacing w:line="240" w:lineRule="auto"/>
        <w:rPr>
          <w:b/>
          <w:bCs/>
          <w:color w:val="58595B"/>
          <w:sz w:val="24"/>
          <w:szCs w:val="24"/>
        </w:rPr>
      </w:pPr>
      <w:r w:rsidRPr="00FD72C8">
        <w:rPr>
          <w:b/>
          <w:bCs/>
          <w:color w:val="58595B"/>
          <w:sz w:val="24"/>
          <w:szCs w:val="24"/>
        </w:rPr>
        <w:t>Examples of innovative sources of financing include:</w:t>
      </w:r>
    </w:p>
    <w:p w14:paraId="6BAA2206" w14:textId="77777777" w:rsidR="00FD72C8" w:rsidRPr="00467993" w:rsidRDefault="00FD72C8">
      <w:pPr>
        <w:spacing w:line="240" w:lineRule="auto"/>
        <w:rPr>
          <w:b/>
          <w:bCs/>
          <w:color w:val="58595B"/>
          <w:sz w:val="11"/>
          <w:szCs w:val="11"/>
        </w:rPr>
      </w:pPr>
    </w:p>
    <w:tbl>
      <w:tblPr>
        <w:tblStyle w:val="a2"/>
        <w:tblW w:w="9360" w:type="dxa"/>
        <w:shd w:val="clear" w:color="auto" w:fill="F2F2F2" w:themeFill="background1" w:themeFillShade="F2"/>
        <w:tblLayout w:type="fixed"/>
        <w:tblLook w:val="0600" w:firstRow="0" w:lastRow="0" w:firstColumn="0" w:lastColumn="0" w:noHBand="1" w:noVBand="1"/>
      </w:tblPr>
      <w:tblGrid>
        <w:gridCol w:w="9360"/>
      </w:tblGrid>
      <w:tr w:rsidR="00DF4EAE" w:rsidRPr="00FD72C8" w14:paraId="61B8B979" w14:textId="77777777" w:rsidTr="00B32DC7">
        <w:tc>
          <w:tcPr>
            <w:tcW w:w="9360" w:type="dxa"/>
            <w:shd w:val="clear" w:color="auto" w:fill="F2F2F2" w:themeFill="background1" w:themeFillShade="F2"/>
            <w:tcMar>
              <w:top w:w="100" w:type="dxa"/>
              <w:left w:w="100" w:type="dxa"/>
              <w:bottom w:w="100" w:type="dxa"/>
              <w:right w:w="100" w:type="dxa"/>
            </w:tcMar>
          </w:tcPr>
          <w:p w14:paraId="62DA4251" w14:textId="01527C76" w:rsidR="00160590" w:rsidRPr="000B4AB8" w:rsidRDefault="00160590" w:rsidP="000B4AB8">
            <w:pPr>
              <w:spacing w:line="240" w:lineRule="auto"/>
              <w:ind w:left="71"/>
              <w:rPr>
                <w:b/>
                <w:color w:val="8064A2" w:themeColor="accent4"/>
                <w:sz w:val="24"/>
                <w:szCs w:val="24"/>
              </w:rPr>
            </w:pPr>
            <w:r w:rsidRPr="000B4AB8">
              <w:rPr>
                <w:b/>
                <w:color w:val="8064A2" w:themeColor="accent4"/>
                <w:sz w:val="24"/>
                <w:szCs w:val="24"/>
              </w:rPr>
              <w:t xml:space="preserve">Public/semi-public sources </w:t>
            </w:r>
          </w:p>
          <w:p w14:paraId="6A2F00DA" w14:textId="77777777" w:rsidR="00160590" w:rsidRPr="00FD72C8" w:rsidRDefault="00160590" w:rsidP="000B4AB8">
            <w:pPr>
              <w:spacing w:line="240" w:lineRule="auto"/>
              <w:ind w:left="71"/>
              <w:rPr>
                <w:color w:val="58595B"/>
                <w:sz w:val="24"/>
                <w:szCs w:val="24"/>
              </w:rPr>
            </w:pPr>
            <w:r w:rsidRPr="00FD72C8">
              <w:rPr>
                <w:color w:val="58595B"/>
                <w:sz w:val="24"/>
                <w:szCs w:val="24"/>
              </w:rPr>
              <w:t xml:space="preserve">An example of public/semi-public sources of innovative financing are </w:t>
            </w:r>
            <w:r w:rsidRPr="00FD72C8">
              <w:rPr>
                <w:b/>
                <w:color w:val="58595B"/>
                <w:sz w:val="24"/>
                <w:szCs w:val="24"/>
              </w:rPr>
              <w:t>earmarked taxes</w:t>
            </w:r>
            <w:r w:rsidRPr="00FD72C8">
              <w:rPr>
                <w:color w:val="58595B"/>
                <w:sz w:val="24"/>
                <w:szCs w:val="24"/>
              </w:rPr>
              <w:t xml:space="preserve">. Earmarked taxes are when a tax is introduced and allotted to public services, such as sin taxes on goods or payroll taxes on corporations. For example, an </w:t>
            </w:r>
            <w:hyperlink r:id="rId22">
              <w:r w:rsidRPr="00FD72C8">
                <w:rPr>
                  <w:color w:val="58595B"/>
                  <w:sz w:val="24"/>
                  <w:szCs w:val="24"/>
                  <w:u w:val="single"/>
                </w:rPr>
                <w:t>ECD payroll tax in Colombia</w:t>
              </w:r>
            </w:hyperlink>
            <w:r w:rsidRPr="00FD72C8">
              <w:rPr>
                <w:color w:val="58595B"/>
                <w:sz w:val="24"/>
                <w:szCs w:val="24"/>
              </w:rPr>
              <w:t xml:space="preserve"> has been used to fund a variety of services since 1968, including community child care homes, parent education programmes, and child protective services.</w:t>
            </w:r>
          </w:p>
          <w:p w14:paraId="3EF28B98" w14:textId="77777777" w:rsidR="00160590" w:rsidRPr="00FD72C8" w:rsidRDefault="00160590" w:rsidP="000B4AB8">
            <w:pPr>
              <w:spacing w:line="240" w:lineRule="auto"/>
              <w:ind w:left="71"/>
              <w:rPr>
                <w:b/>
                <w:color w:val="58595B"/>
                <w:sz w:val="24"/>
                <w:szCs w:val="24"/>
              </w:rPr>
            </w:pPr>
          </w:p>
          <w:p w14:paraId="6FC8012C" w14:textId="504850D9" w:rsidR="00254079" w:rsidRPr="000B4AB8" w:rsidRDefault="00000000" w:rsidP="000B4AB8">
            <w:pPr>
              <w:spacing w:line="240" w:lineRule="auto"/>
              <w:ind w:left="71"/>
              <w:rPr>
                <w:color w:val="8064A2" w:themeColor="accent4"/>
                <w:sz w:val="24"/>
                <w:szCs w:val="24"/>
              </w:rPr>
            </w:pPr>
            <w:r w:rsidRPr="000B4AB8">
              <w:rPr>
                <w:b/>
                <w:color w:val="8064A2" w:themeColor="accent4"/>
                <w:sz w:val="24"/>
                <w:szCs w:val="24"/>
              </w:rPr>
              <w:t>Private sources</w:t>
            </w:r>
          </w:p>
          <w:p w14:paraId="05EC9FBD" w14:textId="10AD4674" w:rsidR="00254079" w:rsidRPr="00FD72C8" w:rsidRDefault="00000000" w:rsidP="000B4AB8">
            <w:pPr>
              <w:spacing w:line="240" w:lineRule="auto"/>
              <w:ind w:left="71"/>
              <w:rPr>
                <w:color w:val="58595B"/>
                <w:sz w:val="24"/>
                <w:szCs w:val="24"/>
              </w:rPr>
            </w:pPr>
            <w:r w:rsidRPr="00FD72C8">
              <w:rPr>
                <w:color w:val="58595B"/>
                <w:sz w:val="24"/>
                <w:szCs w:val="24"/>
              </w:rPr>
              <w:t xml:space="preserve">An example of private sources of innovative financing is </w:t>
            </w:r>
            <w:r w:rsidRPr="00FD72C8">
              <w:rPr>
                <w:b/>
                <w:color w:val="58595B"/>
                <w:sz w:val="24"/>
                <w:szCs w:val="24"/>
              </w:rPr>
              <w:t>corporate social responsibility</w:t>
            </w:r>
            <w:r w:rsidRPr="00FD72C8">
              <w:rPr>
                <w:color w:val="58595B"/>
                <w:sz w:val="24"/>
                <w:szCs w:val="24"/>
              </w:rPr>
              <w:t xml:space="preserve"> </w:t>
            </w:r>
            <w:r w:rsidRPr="00FD72C8">
              <w:rPr>
                <w:b/>
                <w:color w:val="58595B"/>
                <w:sz w:val="24"/>
                <w:szCs w:val="24"/>
              </w:rPr>
              <w:t>(CSR)</w:t>
            </w:r>
            <w:r w:rsidRPr="00FD72C8">
              <w:rPr>
                <w:color w:val="58595B"/>
                <w:sz w:val="24"/>
                <w:szCs w:val="24"/>
              </w:rPr>
              <w:t xml:space="preserve">. CSR is the concept that companies and corporations should give back to their community through funding or implementation of projects. A </w:t>
            </w:r>
            <w:hyperlink r:id="rId23">
              <w:r w:rsidRPr="00FD72C8">
                <w:rPr>
                  <w:color w:val="58595B"/>
                  <w:sz w:val="24"/>
                  <w:szCs w:val="24"/>
                  <w:u w:val="single"/>
                </w:rPr>
                <w:t>report by the Aga Khan Foundation (2018)</w:t>
              </w:r>
            </w:hyperlink>
            <w:r w:rsidRPr="00FD72C8">
              <w:rPr>
                <w:color w:val="58595B"/>
                <w:sz w:val="24"/>
                <w:szCs w:val="24"/>
              </w:rPr>
              <w:t xml:space="preserve"> highlights some collaborations between the Aga Khan Development Network and companies in the private sector regarding early childhood.</w:t>
            </w:r>
          </w:p>
        </w:tc>
      </w:tr>
    </w:tbl>
    <w:p w14:paraId="3509DD35" w14:textId="77777777" w:rsidR="00254079" w:rsidRPr="00FD72C8" w:rsidRDefault="00254079" w:rsidP="00160590">
      <w:pPr>
        <w:spacing w:line="240" w:lineRule="auto"/>
        <w:rPr>
          <w:color w:val="58595B"/>
          <w:sz w:val="24"/>
          <w:szCs w:val="24"/>
        </w:rPr>
      </w:pPr>
    </w:p>
    <w:p w14:paraId="567806E8" w14:textId="77777777" w:rsidR="00254079" w:rsidRPr="00FD72C8" w:rsidRDefault="00000000">
      <w:pPr>
        <w:spacing w:line="240" w:lineRule="auto"/>
        <w:rPr>
          <w:color w:val="58595B"/>
          <w:sz w:val="24"/>
          <w:szCs w:val="24"/>
        </w:rPr>
      </w:pPr>
      <w:r w:rsidRPr="00FD72C8">
        <w:rPr>
          <w:color w:val="58595B"/>
          <w:sz w:val="24"/>
          <w:szCs w:val="24"/>
        </w:rPr>
        <w:t xml:space="preserve">More recent trends in innovative financing for education point to a shift from innovative sources of finance towards innovative delivery mechanisms of financing. Innovative mechanisms help maximize the efficiency, impact, and leverage of existing resources. </w:t>
      </w:r>
    </w:p>
    <w:p w14:paraId="066DDC29" w14:textId="77777777" w:rsidR="003C048E" w:rsidRDefault="003C048E">
      <w:pPr>
        <w:spacing w:line="240" w:lineRule="auto"/>
        <w:rPr>
          <w:color w:val="58595B"/>
          <w:sz w:val="24"/>
          <w:szCs w:val="24"/>
        </w:rPr>
      </w:pPr>
    </w:p>
    <w:p w14:paraId="26208ABA" w14:textId="77777777" w:rsidR="003C048E" w:rsidRPr="00FD72C8" w:rsidRDefault="003C048E">
      <w:pPr>
        <w:spacing w:line="240" w:lineRule="auto"/>
        <w:rPr>
          <w:color w:val="58595B"/>
          <w:sz w:val="24"/>
          <w:szCs w:val="24"/>
        </w:rPr>
      </w:pPr>
    </w:p>
    <w:p w14:paraId="43475C66" w14:textId="77777777" w:rsidR="00975857" w:rsidRDefault="00975857">
      <w:pPr>
        <w:spacing w:line="240" w:lineRule="auto"/>
        <w:rPr>
          <w:b/>
          <w:bCs/>
          <w:color w:val="58595B"/>
          <w:sz w:val="24"/>
          <w:szCs w:val="24"/>
        </w:rPr>
      </w:pPr>
    </w:p>
    <w:p w14:paraId="7DF2A443" w14:textId="24CF644B" w:rsidR="00FD72C8" w:rsidRDefault="00000000">
      <w:pPr>
        <w:spacing w:line="240" w:lineRule="auto"/>
        <w:rPr>
          <w:b/>
          <w:bCs/>
          <w:color w:val="58595B"/>
          <w:sz w:val="24"/>
          <w:szCs w:val="24"/>
        </w:rPr>
      </w:pPr>
      <w:r w:rsidRPr="00FD72C8">
        <w:rPr>
          <w:b/>
          <w:bCs/>
          <w:color w:val="58595B"/>
          <w:sz w:val="24"/>
          <w:szCs w:val="24"/>
        </w:rPr>
        <w:t>Some examples of innovative mechanisms for financing include</w:t>
      </w:r>
      <w:r w:rsidR="00DF4EAE" w:rsidRPr="00FD72C8">
        <w:rPr>
          <w:b/>
          <w:bCs/>
          <w:color w:val="58595B"/>
          <w:sz w:val="24"/>
          <w:szCs w:val="24"/>
        </w:rPr>
        <w:t>:</w:t>
      </w:r>
    </w:p>
    <w:p w14:paraId="650F280C" w14:textId="77777777" w:rsidR="00FD72C8" w:rsidRPr="00467993" w:rsidRDefault="00FD72C8">
      <w:pPr>
        <w:spacing w:line="240" w:lineRule="auto"/>
        <w:rPr>
          <w:b/>
          <w:bCs/>
          <w:color w:val="58595B"/>
          <w:sz w:val="11"/>
          <w:szCs w:val="11"/>
        </w:rPr>
      </w:pPr>
    </w:p>
    <w:p w14:paraId="290AC10B" w14:textId="77777777" w:rsidR="00FD72C8" w:rsidRPr="003C048E" w:rsidRDefault="00FD72C8">
      <w:pPr>
        <w:spacing w:line="240" w:lineRule="auto"/>
        <w:rPr>
          <w:b/>
          <w:bCs/>
          <w:color w:val="58595B"/>
          <w:sz w:val="2"/>
          <w:szCs w:val="2"/>
        </w:rPr>
      </w:pPr>
    </w:p>
    <w:tbl>
      <w:tblPr>
        <w:tblStyle w:val="a3"/>
        <w:tblW w:w="9360" w:type="dxa"/>
        <w:shd w:val="clear" w:color="auto" w:fill="F2F2F2" w:themeFill="background1" w:themeFillShade="F2"/>
        <w:tblLayout w:type="fixed"/>
        <w:tblLook w:val="0600" w:firstRow="0" w:lastRow="0" w:firstColumn="0" w:lastColumn="0" w:noHBand="1" w:noVBand="1"/>
      </w:tblPr>
      <w:tblGrid>
        <w:gridCol w:w="9360"/>
      </w:tblGrid>
      <w:tr w:rsidR="00DF4EAE" w:rsidRPr="00FD72C8" w14:paraId="5299D0B9" w14:textId="77777777" w:rsidTr="00B32DC7">
        <w:tc>
          <w:tcPr>
            <w:tcW w:w="9360" w:type="dxa"/>
            <w:shd w:val="clear" w:color="auto" w:fill="F2F2F2" w:themeFill="background1" w:themeFillShade="F2"/>
            <w:tcMar>
              <w:top w:w="100" w:type="dxa"/>
              <w:left w:w="100" w:type="dxa"/>
              <w:bottom w:w="100" w:type="dxa"/>
              <w:right w:w="100" w:type="dxa"/>
            </w:tcMar>
          </w:tcPr>
          <w:p w14:paraId="1B439170" w14:textId="77777777" w:rsidR="006F13B4" w:rsidRPr="000B4AB8" w:rsidRDefault="006F13B4" w:rsidP="000B4AB8">
            <w:pPr>
              <w:spacing w:line="240" w:lineRule="auto"/>
              <w:ind w:left="71"/>
              <w:rPr>
                <w:color w:val="8064A2" w:themeColor="accent4"/>
                <w:sz w:val="24"/>
                <w:szCs w:val="24"/>
              </w:rPr>
            </w:pPr>
            <w:r w:rsidRPr="000B4AB8">
              <w:rPr>
                <w:b/>
                <w:color w:val="8064A2" w:themeColor="accent4"/>
                <w:sz w:val="24"/>
                <w:szCs w:val="24"/>
              </w:rPr>
              <w:t>Block grants</w:t>
            </w:r>
          </w:p>
          <w:p w14:paraId="0A2F34A2" w14:textId="77777777" w:rsidR="006F13B4" w:rsidRPr="00FD72C8" w:rsidRDefault="006F13B4" w:rsidP="000B4AB8">
            <w:pPr>
              <w:spacing w:line="240" w:lineRule="auto"/>
              <w:ind w:left="71"/>
              <w:rPr>
                <w:color w:val="58595B"/>
                <w:sz w:val="24"/>
                <w:szCs w:val="24"/>
              </w:rPr>
            </w:pPr>
            <w:r w:rsidRPr="00FD72C8">
              <w:rPr>
                <w:color w:val="58595B"/>
                <w:sz w:val="24"/>
                <w:szCs w:val="24"/>
              </w:rPr>
              <w:t xml:space="preserve">The allocation of funding by the government to schools based on student enrolment. For example, the </w:t>
            </w:r>
            <w:hyperlink r:id="rId24">
              <w:r w:rsidRPr="00FD72C8">
                <w:rPr>
                  <w:color w:val="58595B"/>
                  <w:sz w:val="24"/>
                  <w:szCs w:val="24"/>
                  <w:u w:val="single"/>
                </w:rPr>
                <w:t xml:space="preserve">Indonesia Early Childhood Education and Development </w:t>
              </w:r>
            </w:hyperlink>
            <w:r w:rsidRPr="00FD72C8">
              <w:rPr>
                <w:color w:val="58595B"/>
                <w:sz w:val="24"/>
                <w:szCs w:val="24"/>
              </w:rPr>
              <w:t xml:space="preserve">project provided three-year block grants to allow local communities to either establish new preschool services or strengthen existing services. </w:t>
            </w:r>
          </w:p>
          <w:p w14:paraId="5002CE24" w14:textId="77777777" w:rsidR="006F13B4" w:rsidRPr="00FD72C8" w:rsidRDefault="006F13B4" w:rsidP="000B4AB8">
            <w:pPr>
              <w:spacing w:line="240" w:lineRule="auto"/>
              <w:ind w:left="71"/>
              <w:rPr>
                <w:color w:val="58595B"/>
                <w:sz w:val="24"/>
                <w:szCs w:val="24"/>
              </w:rPr>
            </w:pPr>
          </w:p>
          <w:p w14:paraId="16AB2A20" w14:textId="77777777" w:rsidR="006F13B4" w:rsidRPr="000B4AB8" w:rsidRDefault="006F13B4" w:rsidP="000B4AB8">
            <w:pPr>
              <w:spacing w:line="240" w:lineRule="auto"/>
              <w:ind w:left="71"/>
              <w:rPr>
                <w:color w:val="8064A2" w:themeColor="accent4"/>
                <w:sz w:val="24"/>
                <w:szCs w:val="24"/>
              </w:rPr>
            </w:pPr>
            <w:r w:rsidRPr="000B4AB8">
              <w:rPr>
                <w:b/>
                <w:color w:val="8064A2" w:themeColor="accent4"/>
                <w:sz w:val="24"/>
                <w:szCs w:val="24"/>
              </w:rPr>
              <w:t>Results-based financing (RBF)</w:t>
            </w:r>
            <w:r w:rsidRPr="000B4AB8">
              <w:rPr>
                <w:color w:val="8064A2" w:themeColor="accent4"/>
                <w:sz w:val="24"/>
                <w:szCs w:val="24"/>
              </w:rPr>
              <w:t xml:space="preserve"> </w:t>
            </w:r>
          </w:p>
          <w:p w14:paraId="3F7BC872" w14:textId="77777777" w:rsidR="006F13B4" w:rsidRPr="00FD72C8" w:rsidRDefault="006F13B4" w:rsidP="000B4AB8">
            <w:pPr>
              <w:spacing w:line="240" w:lineRule="auto"/>
              <w:ind w:left="71"/>
              <w:rPr>
                <w:color w:val="58595B"/>
                <w:sz w:val="24"/>
                <w:szCs w:val="24"/>
              </w:rPr>
            </w:pPr>
            <w:r w:rsidRPr="00FD72C8">
              <w:rPr>
                <w:color w:val="58595B"/>
                <w:sz w:val="24"/>
                <w:szCs w:val="24"/>
              </w:rPr>
              <w:t xml:space="preserve">An umbrella term referring to any program or intervention that provides rewards to individuals or institutions after agreed-upon results are achieved and verified. Essentially, this is a performance-based approach. One major aspect that varies amongst different types of RBF is who bears the financing risk in case results are not achieved and relatedly, who is incentivized, such as the government, investors, or service providers. </w:t>
            </w:r>
          </w:p>
          <w:p w14:paraId="0AC58772" w14:textId="77777777" w:rsidR="006F13B4" w:rsidRPr="00FD72C8" w:rsidRDefault="006F13B4" w:rsidP="000B4AB8">
            <w:pPr>
              <w:spacing w:line="240" w:lineRule="auto"/>
              <w:ind w:left="71"/>
              <w:rPr>
                <w:color w:val="58595B"/>
                <w:sz w:val="24"/>
                <w:szCs w:val="24"/>
              </w:rPr>
            </w:pPr>
          </w:p>
          <w:p w14:paraId="56E9E592" w14:textId="77777777" w:rsidR="006F13B4" w:rsidRPr="00FD72C8" w:rsidRDefault="006F13B4" w:rsidP="000B4AB8">
            <w:pPr>
              <w:spacing w:line="240" w:lineRule="auto"/>
              <w:ind w:left="71"/>
              <w:rPr>
                <w:color w:val="58595B"/>
                <w:sz w:val="24"/>
                <w:szCs w:val="24"/>
              </w:rPr>
            </w:pPr>
            <w:r w:rsidRPr="00FD72C8">
              <w:rPr>
                <w:color w:val="58595B"/>
                <w:sz w:val="24"/>
                <w:szCs w:val="24"/>
              </w:rPr>
              <w:t xml:space="preserve">While there are </w:t>
            </w:r>
            <w:proofErr w:type="gramStart"/>
            <w:r w:rsidRPr="00FD72C8">
              <w:rPr>
                <w:color w:val="58595B"/>
                <w:sz w:val="24"/>
                <w:szCs w:val="24"/>
              </w:rPr>
              <w:t>a number of</w:t>
            </w:r>
            <w:proofErr w:type="gramEnd"/>
            <w:r w:rsidRPr="00FD72C8">
              <w:rPr>
                <w:color w:val="58595B"/>
                <w:sz w:val="24"/>
                <w:szCs w:val="24"/>
              </w:rPr>
              <w:t xml:space="preserve"> different types of RBF programmes, one type of programme may be more appropriate in a particular country context than another depending on the country-specific bottleneck. This approach has the potential to provide a stronger focus on the actions necessary to improve learning outcomes, foster local solutions to common education challenges, strengthen the capacity of education systems to measure and track progress, and generate data and evidence on the cost-effectiveness of interventions. As with any programme/project, RBF programmes need to be well-designed and well-implemented </w:t>
            </w:r>
            <w:proofErr w:type="gramStart"/>
            <w:r w:rsidRPr="00FD72C8">
              <w:rPr>
                <w:color w:val="58595B"/>
                <w:sz w:val="24"/>
                <w:szCs w:val="24"/>
              </w:rPr>
              <w:t>in order to</w:t>
            </w:r>
            <w:proofErr w:type="gramEnd"/>
            <w:r w:rsidRPr="00FD72C8">
              <w:rPr>
                <w:color w:val="58595B"/>
                <w:sz w:val="24"/>
                <w:szCs w:val="24"/>
              </w:rPr>
              <w:t xml:space="preserve"> incur benefits. When RBF programmes fail to meet these standards, they will have limited impact on reducing inefficiency and improving spending effectiveness (</w:t>
            </w:r>
            <w:hyperlink r:id="rId25">
              <w:r w:rsidRPr="00FD72C8">
                <w:rPr>
                  <w:color w:val="58595B"/>
                  <w:sz w:val="24"/>
                  <w:szCs w:val="24"/>
                  <w:u w:val="single"/>
                </w:rPr>
                <w:t>source</w:t>
              </w:r>
            </w:hyperlink>
            <w:r w:rsidRPr="00FD72C8">
              <w:rPr>
                <w:color w:val="58595B"/>
                <w:sz w:val="24"/>
                <w:szCs w:val="24"/>
              </w:rPr>
              <w:t xml:space="preserve">). </w:t>
            </w:r>
          </w:p>
          <w:p w14:paraId="1260810D" w14:textId="77777777" w:rsidR="006F13B4" w:rsidRPr="00FD72C8" w:rsidRDefault="006F13B4" w:rsidP="00160590">
            <w:pPr>
              <w:spacing w:line="240" w:lineRule="auto"/>
              <w:rPr>
                <w:b/>
                <w:bCs/>
                <w:color w:val="58595B"/>
                <w:sz w:val="24"/>
                <w:szCs w:val="24"/>
              </w:rPr>
            </w:pPr>
          </w:p>
          <w:p w14:paraId="17FFCB06" w14:textId="7DCF3CE8" w:rsidR="00160590" w:rsidRPr="00FD72C8" w:rsidRDefault="00160590" w:rsidP="00160590">
            <w:pPr>
              <w:spacing w:line="240" w:lineRule="auto"/>
              <w:rPr>
                <w:b/>
                <w:bCs/>
                <w:color w:val="58595B"/>
                <w:sz w:val="24"/>
                <w:szCs w:val="24"/>
              </w:rPr>
            </w:pPr>
            <w:r w:rsidRPr="00FD72C8">
              <w:rPr>
                <w:b/>
                <w:bCs/>
                <w:color w:val="58595B"/>
                <w:sz w:val="24"/>
                <w:szCs w:val="24"/>
              </w:rPr>
              <w:t>Some different types of RBF are:</w:t>
            </w:r>
          </w:p>
          <w:p w14:paraId="689CAAF6" w14:textId="77777777" w:rsidR="00160590" w:rsidRPr="000B4AB8" w:rsidRDefault="00160590">
            <w:pPr>
              <w:spacing w:line="240" w:lineRule="auto"/>
              <w:rPr>
                <w:color w:val="58595B"/>
                <w:sz w:val="10"/>
                <w:szCs w:val="10"/>
              </w:rPr>
            </w:pPr>
          </w:p>
          <w:p w14:paraId="5D577BFA" w14:textId="77777777" w:rsidR="00160590" w:rsidRPr="000B4AB8" w:rsidRDefault="00160590" w:rsidP="002A1A2C">
            <w:pPr>
              <w:pStyle w:val="ListParagraph"/>
              <w:numPr>
                <w:ilvl w:val="0"/>
                <w:numId w:val="40"/>
              </w:numPr>
              <w:spacing w:line="240" w:lineRule="auto"/>
              <w:ind w:left="360"/>
              <w:rPr>
                <w:b/>
                <w:color w:val="8064A2" w:themeColor="accent4"/>
                <w:sz w:val="24"/>
                <w:szCs w:val="24"/>
              </w:rPr>
            </w:pPr>
            <w:r w:rsidRPr="000B4AB8">
              <w:rPr>
                <w:b/>
                <w:color w:val="8064A2" w:themeColor="accent4"/>
                <w:sz w:val="24"/>
                <w:szCs w:val="24"/>
              </w:rPr>
              <w:t>Conditional cash transfers (CCTs)</w:t>
            </w:r>
          </w:p>
          <w:p w14:paraId="6F28DB09" w14:textId="77777777" w:rsidR="00FD72C8" w:rsidRDefault="00160590" w:rsidP="002A1A2C">
            <w:pPr>
              <w:pStyle w:val="ListParagraph"/>
              <w:spacing w:line="240" w:lineRule="auto"/>
              <w:ind w:left="360"/>
              <w:rPr>
                <w:color w:val="58595B"/>
                <w:sz w:val="24"/>
                <w:szCs w:val="24"/>
              </w:rPr>
            </w:pPr>
            <w:r w:rsidRPr="00FD72C8">
              <w:rPr>
                <w:color w:val="58595B"/>
                <w:sz w:val="24"/>
                <w:szCs w:val="24"/>
              </w:rPr>
              <w:t xml:space="preserve">In conditional cash transfers (CCTs), families receive a direct cash transfer if they fulfill certain conditions, such as ensuring their children attend school. CCTs are meant to stimulate the demand for ECE. Individuals bear the greatest financial risk in CCTs, as families do not receive monies if they do not fulfill the conditions of the CCT. </w:t>
            </w:r>
          </w:p>
          <w:p w14:paraId="0DB279A0" w14:textId="77777777" w:rsidR="00FD72C8" w:rsidRDefault="00FD72C8" w:rsidP="002A1A2C">
            <w:pPr>
              <w:spacing w:line="240" w:lineRule="auto"/>
              <w:rPr>
                <w:b/>
                <w:color w:val="58595B"/>
                <w:sz w:val="24"/>
                <w:szCs w:val="24"/>
              </w:rPr>
            </w:pPr>
          </w:p>
          <w:p w14:paraId="5C4A9923" w14:textId="5C7B9FE8" w:rsidR="00160590" w:rsidRPr="000B4AB8" w:rsidRDefault="00160590" w:rsidP="002A1A2C">
            <w:pPr>
              <w:pStyle w:val="ListParagraph"/>
              <w:numPr>
                <w:ilvl w:val="0"/>
                <w:numId w:val="41"/>
              </w:numPr>
              <w:spacing w:line="240" w:lineRule="auto"/>
              <w:ind w:left="360"/>
              <w:rPr>
                <w:color w:val="8064A2" w:themeColor="accent4"/>
                <w:sz w:val="24"/>
                <w:szCs w:val="24"/>
              </w:rPr>
            </w:pPr>
            <w:r w:rsidRPr="000B4AB8">
              <w:rPr>
                <w:b/>
                <w:color w:val="8064A2" w:themeColor="accent4"/>
                <w:sz w:val="24"/>
                <w:szCs w:val="24"/>
              </w:rPr>
              <w:t>Impact bonds</w:t>
            </w:r>
          </w:p>
          <w:p w14:paraId="34E1C502" w14:textId="77777777" w:rsidR="00160590" w:rsidRDefault="00160590" w:rsidP="002A1A2C">
            <w:pPr>
              <w:pStyle w:val="ListParagraph"/>
              <w:spacing w:line="240" w:lineRule="auto"/>
              <w:ind w:left="360"/>
              <w:rPr>
                <w:color w:val="58595B"/>
                <w:sz w:val="24"/>
                <w:szCs w:val="24"/>
              </w:rPr>
            </w:pPr>
            <w:r w:rsidRPr="00FD72C8">
              <w:rPr>
                <w:color w:val="58595B"/>
                <w:sz w:val="24"/>
                <w:szCs w:val="24"/>
              </w:rPr>
              <w:t>Impact bonds incorporate the use of private investors, often impact investors (see above), to cover the upfront capital required for a provider to set up and deliver a service. The investors are repaid by an outcome funder contingent on the achievement of agreed-upon results. Different types of impact bonds include:</w:t>
            </w:r>
          </w:p>
          <w:p w14:paraId="6D90168D" w14:textId="77777777" w:rsidR="003C048E" w:rsidRPr="00FD72C8" w:rsidRDefault="003C048E" w:rsidP="002A1A2C">
            <w:pPr>
              <w:pStyle w:val="ListParagraph"/>
              <w:spacing w:line="240" w:lineRule="auto"/>
              <w:ind w:left="360"/>
              <w:rPr>
                <w:color w:val="58595B"/>
                <w:sz w:val="24"/>
                <w:szCs w:val="24"/>
              </w:rPr>
            </w:pPr>
          </w:p>
          <w:p w14:paraId="544FA9C7" w14:textId="77777777" w:rsidR="00160590" w:rsidRPr="00FD72C8" w:rsidRDefault="00160590" w:rsidP="002A1A2C">
            <w:pPr>
              <w:numPr>
                <w:ilvl w:val="0"/>
                <w:numId w:val="39"/>
              </w:numPr>
              <w:spacing w:line="240" w:lineRule="auto"/>
              <w:ind w:left="881" w:hanging="270"/>
              <w:rPr>
                <w:color w:val="58595B"/>
                <w:sz w:val="24"/>
                <w:szCs w:val="24"/>
              </w:rPr>
            </w:pPr>
            <w:r w:rsidRPr="00FD72C8">
              <w:rPr>
                <w:color w:val="58595B"/>
                <w:sz w:val="24"/>
                <w:szCs w:val="24"/>
              </w:rPr>
              <w:t xml:space="preserve">Social impact bonds, where the outcome payer is the </w:t>
            </w:r>
            <w:proofErr w:type="gramStart"/>
            <w:r w:rsidRPr="00FD72C8">
              <w:rPr>
                <w:color w:val="58595B"/>
                <w:sz w:val="24"/>
                <w:szCs w:val="24"/>
              </w:rPr>
              <w:t>government;</w:t>
            </w:r>
            <w:proofErr w:type="gramEnd"/>
          </w:p>
          <w:p w14:paraId="61A02E7F" w14:textId="77777777" w:rsidR="006F13B4" w:rsidRPr="00FD72C8" w:rsidRDefault="00160590" w:rsidP="002A1A2C">
            <w:pPr>
              <w:numPr>
                <w:ilvl w:val="0"/>
                <w:numId w:val="39"/>
              </w:numPr>
              <w:spacing w:line="240" w:lineRule="auto"/>
              <w:ind w:left="881" w:hanging="270"/>
              <w:rPr>
                <w:color w:val="58595B"/>
                <w:sz w:val="24"/>
                <w:szCs w:val="24"/>
              </w:rPr>
            </w:pPr>
            <w:r w:rsidRPr="00FD72C8">
              <w:rPr>
                <w:color w:val="58595B"/>
                <w:sz w:val="24"/>
                <w:szCs w:val="24"/>
              </w:rPr>
              <w:t xml:space="preserve">Development impact bonds, where the outcome payer is a third party, such as a </w:t>
            </w:r>
            <w:proofErr w:type="gramStart"/>
            <w:r w:rsidRPr="00FD72C8">
              <w:rPr>
                <w:color w:val="58595B"/>
                <w:sz w:val="24"/>
                <w:szCs w:val="24"/>
              </w:rPr>
              <w:t>donor;</w:t>
            </w:r>
            <w:proofErr w:type="gramEnd"/>
          </w:p>
          <w:p w14:paraId="6A849ED6" w14:textId="1D4455E7" w:rsidR="00160590" w:rsidRPr="00FD72C8" w:rsidRDefault="00160590" w:rsidP="002A1A2C">
            <w:pPr>
              <w:numPr>
                <w:ilvl w:val="0"/>
                <w:numId w:val="39"/>
              </w:numPr>
              <w:spacing w:line="240" w:lineRule="auto"/>
              <w:ind w:left="881" w:hanging="270"/>
              <w:rPr>
                <w:color w:val="58595B"/>
                <w:sz w:val="24"/>
                <w:szCs w:val="24"/>
              </w:rPr>
            </w:pPr>
            <w:r w:rsidRPr="00FD72C8">
              <w:rPr>
                <w:color w:val="58595B"/>
                <w:sz w:val="24"/>
                <w:szCs w:val="24"/>
              </w:rPr>
              <w:t>Humanitarian impact bonds, a variation of development impact bonds that are used in a conflict or post-conflict setting.</w:t>
            </w:r>
          </w:p>
          <w:p w14:paraId="7CCE741F" w14:textId="77777777" w:rsidR="00160590" w:rsidRPr="00FD72C8" w:rsidRDefault="00160590" w:rsidP="006F13B4">
            <w:pPr>
              <w:spacing w:line="240" w:lineRule="auto"/>
              <w:ind w:left="619"/>
              <w:rPr>
                <w:color w:val="58595B"/>
                <w:sz w:val="24"/>
                <w:szCs w:val="24"/>
              </w:rPr>
            </w:pPr>
          </w:p>
          <w:p w14:paraId="1749B72F" w14:textId="77777777" w:rsidR="00160590" w:rsidRPr="000B4AB8" w:rsidRDefault="00160590" w:rsidP="002A1A2C">
            <w:pPr>
              <w:pStyle w:val="ListParagraph"/>
              <w:numPr>
                <w:ilvl w:val="0"/>
                <w:numId w:val="42"/>
              </w:numPr>
              <w:spacing w:line="240" w:lineRule="auto"/>
              <w:ind w:left="360"/>
              <w:rPr>
                <w:color w:val="8064A2" w:themeColor="accent4"/>
                <w:sz w:val="24"/>
                <w:szCs w:val="24"/>
              </w:rPr>
            </w:pPr>
            <w:r w:rsidRPr="000B4AB8">
              <w:rPr>
                <w:b/>
                <w:color w:val="8064A2" w:themeColor="accent4"/>
                <w:sz w:val="24"/>
                <w:szCs w:val="24"/>
              </w:rPr>
              <w:lastRenderedPageBreak/>
              <w:t>Outcome funds</w:t>
            </w:r>
          </w:p>
          <w:p w14:paraId="44FDAB1A" w14:textId="02054B89" w:rsidR="00160590" w:rsidRPr="00FD72C8" w:rsidRDefault="00160590" w:rsidP="002A1A2C">
            <w:pPr>
              <w:pStyle w:val="ListParagraph"/>
              <w:spacing w:line="240" w:lineRule="auto"/>
              <w:ind w:left="360"/>
              <w:rPr>
                <w:color w:val="58595B"/>
                <w:sz w:val="24"/>
                <w:szCs w:val="24"/>
              </w:rPr>
            </w:pPr>
            <w:r w:rsidRPr="00FD72C8">
              <w:rPr>
                <w:color w:val="58595B"/>
                <w:sz w:val="24"/>
                <w:szCs w:val="24"/>
              </w:rPr>
              <w:t>Outcome funds pool funding from one or more funders and contracts multiple implementers to achieve a set of pre-defined results. In some cases, investors can bear the financial risk with outcome funds. Payments from the fund only occur when results are achieved. Outcome funds build on the notion of impact bonds, but contract multiple implementers under a common funding network, under a common funding framework to achieve greater scale, reduce transaction costs, and simultaneously test different interventions.</w:t>
            </w:r>
          </w:p>
        </w:tc>
      </w:tr>
    </w:tbl>
    <w:p w14:paraId="0D4E0369" w14:textId="77777777" w:rsidR="00160590" w:rsidRPr="00FD72C8" w:rsidRDefault="00160590">
      <w:pPr>
        <w:spacing w:line="240" w:lineRule="auto"/>
        <w:rPr>
          <w:color w:val="58595B"/>
          <w:sz w:val="24"/>
          <w:szCs w:val="24"/>
        </w:rPr>
      </w:pPr>
    </w:p>
    <w:p w14:paraId="2BEBDB2C" w14:textId="62F7226A" w:rsidR="00DF4EAE" w:rsidRPr="000B4AB8" w:rsidRDefault="006F13B4" w:rsidP="002A1A2C">
      <w:pPr>
        <w:widowControl w:val="0"/>
        <w:pBdr>
          <w:top w:val="nil"/>
          <w:left w:val="nil"/>
          <w:bottom w:val="nil"/>
          <w:right w:val="nil"/>
          <w:between w:val="nil"/>
        </w:pBdr>
        <w:spacing w:line="240" w:lineRule="auto"/>
        <w:rPr>
          <w:b/>
          <w:bCs/>
          <w:color w:val="58595B"/>
          <w:sz w:val="24"/>
          <w:szCs w:val="24"/>
        </w:rPr>
      </w:pPr>
      <w:r w:rsidRPr="00FD72C8">
        <w:rPr>
          <w:b/>
          <w:bCs/>
          <w:color w:val="58595B"/>
          <w:sz w:val="24"/>
          <w:szCs w:val="24"/>
        </w:rPr>
        <w:t>RBF</w:t>
      </w:r>
      <w:r w:rsidR="00DF4EAE" w:rsidRPr="00FD72C8">
        <w:rPr>
          <w:b/>
          <w:bCs/>
          <w:color w:val="58595B"/>
          <w:sz w:val="24"/>
          <w:szCs w:val="24"/>
        </w:rPr>
        <w:t xml:space="preserve"> Key </w:t>
      </w:r>
      <w:r w:rsidRPr="00FD72C8">
        <w:rPr>
          <w:b/>
          <w:bCs/>
          <w:color w:val="58595B"/>
          <w:sz w:val="24"/>
          <w:szCs w:val="24"/>
        </w:rPr>
        <w:t>R</w:t>
      </w:r>
      <w:r w:rsidR="00DF4EAE" w:rsidRPr="00FD72C8">
        <w:rPr>
          <w:b/>
          <w:bCs/>
          <w:color w:val="58595B"/>
          <w:sz w:val="24"/>
          <w:szCs w:val="24"/>
        </w:rPr>
        <w:t xml:space="preserve">eference </w:t>
      </w:r>
      <w:r w:rsidRPr="00FD72C8">
        <w:rPr>
          <w:b/>
          <w:bCs/>
          <w:color w:val="58595B"/>
          <w:sz w:val="24"/>
          <w:szCs w:val="24"/>
        </w:rPr>
        <w:t>Documents</w:t>
      </w:r>
    </w:p>
    <w:p w14:paraId="1243F1B1" w14:textId="77777777" w:rsidR="00DF4EAE" w:rsidRPr="00FD72C8" w:rsidRDefault="00000000" w:rsidP="002A1A2C">
      <w:pPr>
        <w:numPr>
          <w:ilvl w:val="0"/>
          <w:numId w:val="43"/>
        </w:numPr>
        <w:spacing w:line="240" w:lineRule="auto"/>
        <w:rPr>
          <w:color w:val="58595B"/>
          <w:sz w:val="24"/>
          <w:szCs w:val="24"/>
        </w:rPr>
      </w:pPr>
      <w:hyperlink r:id="rId26">
        <w:r w:rsidR="00DF4EAE" w:rsidRPr="00FD72C8">
          <w:rPr>
            <w:color w:val="58595B"/>
            <w:sz w:val="24"/>
            <w:szCs w:val="24"/>
            <w:u w:val="single"/>
          </w:rPr>
          <w:t>A guide for effective results-based financing strategies</w:t>
        </w:r>
      </w:hyperlink>
      <w:r w:rsidR="00DF4EAE" w:rsidRPr="00FD72C8">
        <w:rPr>
          <w:color w:val="58595B"/>
          <w:sz w:val="24"/>
          <w:szCs w:val="24"/>
        </w:rPr>
        <w:t xml:space="preserve"> (GPRBA, 2018). This publication presents different types of RBF and can guide development practitioners and funders to apply the most appropriate RBF solution in their context. </w:t>
      </w:r>
    </w:p>
    <w:p w14:paraId="539BCA72" w14:textId="77777777" w:rsidR="00DF4EAE" w:rsidRPr="00FD72C8" w:rsidRDefault="00000000" w:rsidP="002A1A2C">
      <w:pPr>
        <w:numPr>
          <w:ilvl w:val="0"/>
          <w:numId w:val="43"/>
        </w:numPr>
        <w:spacing w:line="240" w:lineRule="auto"/>
        <w:rPr>
          <w:color w:val="58595B"/>
          <w:sz w:val="24"/>
          <w:szCs w:val="24"/>
        </w:rPr>
      </w:pPr>
      <w:hyperlink r:id="rId27">
        <w:r w:rsidR="00DF4EAE" w:rsidRPr="00FD72C8">
          <w:rPr>
            <w:color w:val="58595B"/>
            <w:sz w:val="24"/>
            <w:szCs w:val="24"/>
            <w:u w:val="single"/>
          </w:rPr>
          <w:t>Measuring the success of impact bonds</w:t>
        </w:r>
      </w:hyperlink>
      <w:r w:rsidR="00DF4EAE" w:rsidRPr="00FD72C8">
        <w:rPr>
          <w:color w:val="58595B"/>
          <w:sz w:val="24"/>
          <w:szCs w:val="24"/>
        </w:rPr>
        <w:t xml:space="preserve"> (Brookings, 2020). This webpage links to a series of five policy briefs evaluating evidence across five dimensions of success, ranging from impact bond growth trajectory to considering the costs and benefits of impact bonds. </w:t>
      </w:r>
    </w:p>
    <w:p w14:paraId="1AB26BA1" w14:textId="77777777" w:rsidR="00DF4EAE" w:rsidRPr="00FD72C8" w:rsidRDefault="00000000" w:rsidP="002A1A2C">
      <w:pPr>
        <w:numPr>
          <w:ilvl w:val="0"/>
          <w:numId w:val="43"/>
        </w:numPr>
        <w:spacing w:line="240" w:lineRule="auto"/>
        <w:rPr>
          <w:color w:val="58595B"/>
          <w:sz w:val="24"/>
          <w:szCs w:val="24"/>
        </w:rPr>
      </w:pPr>
      <w:hyperlink r:id="rId28">
        <w:r w:rsidR="00DF4EAE" w:rsidRPr="00FD72C8">
          <w:rPr>
            <w:color w:val="58595B"/>
            <w:sz w:val="24"/>
            <w:szCs w:val="24"/>
            <w:u w:val="single"/>
          </w:rPr>
          <w:t xml:space="preserve">Promoting early childhood development through combining cash transfers and parenting programs </w:t>
        </w:r>
      </w:hyperlink>
      <w:r w:rsidR="00DF4EAE" w:rsidRPr="00FD72C8">
        <w:rPr>
          <w:color w:val="58595B"/>
          <w:sz w:val="24"/>
          <w:szCs w:val="24"/>
        </w:rPr>
        <w:t xml:space="preserve">(World Bank, 2018). This paper reviews the rationale for linking cash transfer and parenting programmes focused on child stimulation and the evidence on the impact of cash transfer programmes, parenting </w:t>
      </w:r>
      <w:proofErr w:type="spellStart"/>
      <w:r w:rsidR="00DF4EAE" w:rsidRPr="00FD72C8">
        <w:rPr>
          <w:color w:val="58595B"/>
          <w:sz w:val="24"/>
          <w:szCs w:val="24"/>
        </w:rPr>
        <w:t>programes</w:t>
      </w:r>
      <w:proofErr w:type="spellEnd"/>
      <w:r w:rsidR="00DF4EAE" w:rsidRPr="00FD72C8">
        <w:rPr>
          <w:color w:val="58595B"/>
          <w:sz w:val="24"/>
          <w:szCs w:val="24"/>
        </w:rPr>
        <w:t xml:space="preserve">, and their combination. </w:t>
      </w:r>
    </w:p>
    <w:p w14:paraId="49D7CEC3" w14:textId="77777777" w:rsidR="00DF4EAE" w:rsidRPr="00FD72C8" w:rsidRDefault="00000000" w:rsidP="002A1A2C">
      <w:pPr>
        <w:numPr>
          <w:ilvl w:val="0"/>
          <w:numId w:val="43"/>
        </w:numPr>
        <w:spacing w:line="240" w:lineRule="auto"/>
        <w:rPr>
          <w:color w:val="58595B"/>
          <w:sz w:val="24"/>
          <w:szCs w:val="24"/>
        </w:rPr>
      </w:pPr>
      <w:hyperlink r:id="rId29">
        <w:r w:rsidR="00DF4EAE" w:rsidRPr="00FD72C8">
          <w:rPr>
            <w:color w:val="58595B"/>
            <w:sz w:val="24"/>
            <w:szCs w:val="24"/>
            <w:u w:val="single"/>
          </w:rPr>
          <w:t xml:space="preserve">Results-based financing (RBF) and Results in Education for All Children (REACH) </w:t>
        </w:r>
      </w:hyperlink>
      <w:r w:rsidR="00DF4EAE" w:rsidRPr="00FD72C8">
        <w:rPr>
          <w:color w:val="58595B"/>
          <w:sz w:val="24"/>
          <w:szCs w:val="24"/>
        </w:rPr>
        <w:t xml:space="preserve">(World Bank, n.d.). This website presents resources around the use of RBF interventions in the education sector. </w:t>
      </w:r>
    </w:p>
    <w:p w14:paraId="38A4E13F" w14:textId="18BD47EA" w:rsidR="00DF4EAE" w:rsidRPr="000B4AB8" w:rsidRDefault="00000000" w:rsidP="002A1A2C">
      <w:pPr>
        <w:numPr>
          <w:ilvl w:val="0"/>
          <w:numId w:val="43"/>
        </w:numPr>
        <w:spacing w:line="240" w:lineRule="auto"/>
        <w:rPr>
          <w:color w:val="58595B"/>
          <w:sz w:val="24"/>
          <w:szCs w:val="24"/>
        </w:rPr>
      </w:pPr>
      <w:hyperlink r:id="rId30">
        <w:r w:rsidR="00DF4EAE" w:rsidRPr="00FD72C8">
          <w:rPr>
            <w:color w:val="58595B"/>
            <w:sz w:val="24"/>
            <w:szCs w:val="24"/>
            <w:u w:val="single"/>
          </w:rPr>
          <w:t>Using impact bonds to achieve early childhood development outcomes in low- and middle-income countries</w:t>
        </w:r>
      </w:hyperlink>
      <w:r w:rsidR="00DF4EAE" w:rsidRPr="00FD72C8">
        <w:rPr>
          <w:color w:val="58595B"/>
          <w:sz w:val="24"/>
          <w:szCs w:val="24"/>
        </w:rPr>
        <w:t xml:space="preserve"> (Brookings, 2016). This report discusses potential of using impact bonds to make headway in achieving the outcomes laid out in the Sustainable Development Goals relating to early childhood development. This report is accompanied by a </w:t>
      </w:r>
      <w:hyperlink r:id="rId31">
        <w:r w:rsidR="00DF4EAE" w:rsidRPr="00FD72C8">
          <w:rPr>
            <w:color w:val="58595B"/>
            <w:sz w:val="24"/>
            <w:szCs w:val="24"/>
            <w:u w:val="single"/>
          </w:rPr>
          <w:t>policy brief</w:t>
        </w:r>
      </w:hyperlink>
      <w:r w:rsidR="00DF4EAE" w:rsidRPr="00FD72C8">
        <w:rPr>
          <w:color w:val="58595B"/>
          <w:sz w:val="24"/>
          <w:szCs w:val="24"/>
        </w:rPr>
        <w:t xml:space="preserve"> that discusses impact bonds as a financing tool for ECD in low- and middle-income countries and the potential and limitations of their use. </w:t>
      </w:r>
    </w:p>
    <w:p w14:paraId="695F5F4E" w14:textId="77777777" w:rsidR="00DF4EAE" w:rsidRPr="00FD72C8" w:rsidRDefault="00DF4EAE" w:rsidP="002A1A2C">
      <w:pPr>
        <w:spacing w:line="240" w:lineRule="auto"/>
        <w:rPr>
          <w:color w:val="58595B"/>
          <w:sz w:val="24"/>
          <w:szCs w:val="24"/>
        </w:rPr>
      </w:pPr>
    </w:p>
    <w:p w14:paraId="1917CC34" w14:textId="663094F1" w:rsidR="00DF4EAE" w:rsidRPr="000B4AB8" w:rsidRDefault="006F13B4" w:rsidP="002A1A2C">
      <w:pPr>
        <w:widowControl w:val="0"/>
        <w:pBdr>
          <w:top w:val="nil"/>
          <w:left w:val="nil"/>
          <w:bottom w:val="nil"/>
          <w:right w:val="nil"/>
          <w:between w:val="nil"/>
        </w:pBdr>
        <w:spacing w:line="240" w:lineRule="auto"/>
        <w:rPr>
          <w:b/>
          <w:bCs/>
          <w:color w:val="58595B"/>
          <w:sz w:val="24"/>
          <w:szCs w:val="24"/>
        </w:rPr>
      </w:pPr>
      <w:r w:rsidRPr="00FD72C8">
        <w:rPr>
          <w:b/>
          <w:bCs/>
          <w:color w:val="58595B"/>
          <w:sz w:val="24"/>
          <w:szCs w:val="24"/>
        </w:rPr>
        <w:t>RBF</w:t>
      </w:r>
      <w:r w:rsidR="00DF4EAE" w:rsidRPr="00FD72C8">
        <w:rPr>
          <w:b/>
          <w:bCs/>
          <w:color w:val="58595B"/>
          <w:sz w:val="24"/>
          <w:szCs w:val="24"/>
        </w:rPr>
        <w:t xml:space="preserve"> Case </w:t>
      </w:r>
      <w:r w:rsidRPr="00FD72C8">
        <w:rPr>
          <w:b/>
          <w:bCs/>
          <w:color w:val="58595B"/>
          <w:sz w:val="24"/>
          <w:szCs w:val="24"/>
        </w:rPr>
        <w:t>S</w:t>
      </w:r>
      <w:r w:rsidR="00DF4EAE" w:rsidRPr="00FD72C8">
        <w:rPr>
          <w:b/>
          <w:bCs/>
          <w:color w:val="58595B"/>
          <w:sz w:val="24"/>
          <w:szCs w:val="24"/>
        </w:rPr>
        <w:t>tudies</w:t>
      </w:r>
    </w:p>
    <w:p w14:paraId="4101B484" w14:textId="77777777" w:rsidR="00DF4EAE" w:rsidRPr="00FD72C8" w:rsidRDefault="00DF4EAE" w:rsidP="002A1A2C">
      <w:pPr>
        <w:numPr>
          <w:ilvl w:val="0"/>
          <w:numId w:val="44"/>
        </w:numPr>
        <w:spacing w:line="240" w:lineRule="auto"/>
        <w:rPr>
          <w:color w:val="58595B"/>
          <w:sz w:val="24"/>
          <w:szCs w:val="24"/>
        </w:rPr>
      </w:pPr>
      <w:r w:rsidRPr="00FD72C8">
        <w:rPr>
          <w:color w:val="58595B"/>
          <w:sz w:val="24"/>
          <w:szCs w:val="24"/>
        </w:rPr>
        <w:t xml:space="preserve">Cambodia: </w:t>
      </w:r>
      <w:hyperlink r:id="rId32">
        <w:r w:rsidRPr="00FD72C8">
          <w:rPr>
            <w:color w:val="58595B"/>
            <w:sz w:val="24"/>
            <w:szCs w:val="24"/>
            <w:u w:val="single"/>
          </w:rPr>
          <w:t>Expanding quality early learning through results-based financing</w:t>
        </w:r>
      </w:hyperlink>
      <w:r w:rsidRPr="00FD72C8">
        <w:rPr>
          <w:color w:val="58595B"/>
          <w:sz w:val="24"/>
          <w:szCs w:val="24"/>
        </w:rPr>
        <w:t xml:space="preserve">. This case study looks at how RBF has been used in Cambodia under the Variable Tranche of the GPE implementation grant. </w:t>
      </w:r>
    </w:p>
    <w:p w14:paraId="79770CAF" w14:textId="77777777" w:rsidR="00DF4EAE" w:rsidRPr="00FD72C8" w:rsidRDefault="00DF4EAE" w:rsidP="002A1A2C">
      <w:pPr>
        <w:numPr>
          <w:ilvl w:val="0"/>
          <w:numId w:val="44"/>
        </w:numPr>
        <w:spacing w:line="240" w:lineRule="auto"/>
        <w:rPr>
          <w:color w:val="58595B"/>
          <w:sz w:val="24"/>
          <w:szCs w:val="24"/>
        </w:rPr>
      </w:pPr>
      <w:r w:rsidRPr="00FD72C8">
        <w:rPr>
          <w:color w:val="58595B"/>
          <w:sz w:val="24"/>
          <w:szCs w:val="24"/>
        </w:rPr>
        <w:t xml:space="preserve">Morocco: </w:t>
      </w:r>
      <w:hyperlink r:id="rId33">
        <w:r w:rsidRPr="00FD72C8">
          <w:rPr>
            <w:color w:val="58595B"/>
            <w:sz w:val="24"/>
            <w:szCs w:val="24"/>
            <w:u w:val="single"/>
          </w:rPr>
          <w:t>Preschool education in Morocco: Challenges and key potential inputs</w:t>
        </w:r>
      </w:hyperlink>
      <w:r w:rsidRPr="00FD72C8">
        <w:rPr>
          <w:color w:val="58595B"/>
          <w:sz w:val="24"/>
          <w:szCs w:val="24"/>
        </w:rPr>
        <w:t xml:space="preserve">. A brief landscape of Morocco’s preschool education subsector is presented in this case study and explores the countrywide scaling of RBF through nonstate contractors to universalize preschool. </w:t>
      </w:r>
    </w:p>
    <w:p w14:paraId="672E8285" w14:textId="77777777" w:rsidR="00DF4EAE" w:rsidRPr="00FD72C8" w:rsidRDefault="00DF4EAE" w:rsidP="002A1A2C">
      <w:pPr>
        <w:numPr>
          <w:ilvl w:val="0"/>
          <w:numId w:val="44"/>
        </w:numPr>
        <w:spacing w:line="240" w:lineRule="auto"/>
        <w:rPr>
          <w:color w:val="58595B"/>
          <w:sz w:val="24"/>
          <w:szCs w:val="24"/>
        </w:rPr>
      </w:pPr>
      <w:r w:rsidRPr="00FD72C8">
        <w:rPr>
          <w:color w:val="58595B"/>
          <w:sz w:val="24"/>
          <w:szCs w:val="24"/>
        </w:rPr>
        <w:t xml:space="preserve">Sierra Leone: </w:t>
      </w:r>
      <w:hyperlink r:id="rId34">
        <w:r w:rsidRPr="00FD72C8">
          <w:rPr>
            <w:color w:val="58595B"/>
            <w:sz w:val="24"/>
            <w:szCs w:val="24"/>
            <w:u w:val="single"/>
          </w:rPr>
          <w:t>Advancing early learning through results-based financing</w:t>
        </w:r>
      </w:hyperlink>
      <w:r w:rsidRPr="00FD72C8">
        <w:rPr>
          <w:color w:val="58595B"/>
          <w:sz w:val="24"/>
          <w:szCs w:val="24"/>
        </w:rPr>
        <w:t xml:space="preserve">. This case study looks at how a GPE grant </w:t>
      </w:r>
      <w:proofErr w:type="spellStart"/>
      <w:r w:rsidRPr="00FD72C8">
        <w:rPr>
          <w:color w:val="58595B"/>
          <w:sz w:val="24"/>
          <w:szCs w:val="24"/>
        </w:rPr>
        <w:t>centred</w:t>
      </w:r>
      <w:proofErr w:type="spellEnd"/>
      <w:r w:rsidRPr="00FD72C8">
        <w:rPr>
          <w:color w:val="58595B"/>
          <w:sz w:val="24"/>
          <w:szCs w:val="24"/>
        </w:rPr>
        <w:t xml:space="preserve"> on the RBF model helped UNICEF Sierra Leone grow ECE enrolment. </w:t>
      </w:r>
    </w:p>
    <w:p w14:paraId="125C1699" w14:textId="77777777" w:rsidR="00DF4EAE" w:rsidRPr="00FD72C8" w:rsidRDefault="00DF4EAE" w:rsidP="002A1A2C">
      <w:pPr>
        <w:numPr>
          <w:ilvl w:val="0"/>
          <w:numId w:val="44"/>
        </w:numPr>
        <w:spacing w:line="240" w:lineRule="auto"/>
        <w:rPr>
          <w:color w:val="58595B"/>
          <w:sz w:val="24"/>
          <w:szCs w:val="24"/>
        </w:rPr>
      </w:pPr>
      <w:r w:rsidRPr="00FD72C8">
        <w:rPr>
          <w:color w:val="58595B"/>
          <w:sz w:val="24"/>
          <w:szCs w:val="24"/>
        </w:rPr>
        <w:t xml:space="preserve">South Africa: </w:t>
      </w:r>
      <w:hyperlink r:id="rId35">
        <w:r w:rsidRPr="00FD72C8">
          <w:rPr>
            <w:color w:val="58595B"/>
            <w:sz w:val="24"/>
            <w:szCs w:val="24"/>
            <w:u w:val="single"/>
          </w:rPr>
          <w:t>South Africa impact bond innovation fund</w:t>
        </w:r>
      </w:hyperlink>
      <w:r w:rsidRPr="00FD72C8">
        <w:rPr>
          <w:color w:val="58595B"/>
          <w:sz w:val="24"/>
          <w:szCs w:val="24"/>
        </w:rPr>
        <w:t xml:space="preserve">. This example discusses the Innovation Fund Impact Bond, the first early childhood development social impact bond to be launched in South Africa. </w:t>
      </w:r>
    </w:p>
    <w:p w14:paraId="07E6E96F" w14:textId="2DA4479D" w:rsidR="00DF4EAE" w:rsidRPr="00FD72C8" w:rsidRDefault="00DF4EAE" w:rsidP="002A1A2C">
      <w:pPr>
        <w:numPr>
          <w:ilvl w:val="0"/>
          <w:numId w:val="44"/>
        </w:numPr>
        <w:spacing w:line="240" w:lineRule="auto"/>
        <w:rPr>
          <w:color w:val="58595B"/>
          <w:sz w:val="24"/>
          <w:szCs w:val="24"/>
        </w:rPr>
      </w:pPr>
      <w:r w:rsidRPr="00FD72C8">
        <w:rPr>
          <w:color w:val="58595B"/>
          <w:sz w:val="24"/>
          <w:szCs w:val="24"/>
        </w:rPr>
        <w:lastRenderedPageBreak/>
        <w:t xml:space="preserve">Uzbekistan: </w:t>
      </w:r>
      <w:hyperlink r:id="rId36">
        <w:r w:rsidRPr="00FD72C8">
          <w:rPr>
            <w:color w:val="58595B"/>
            <w:sz w:val="24"/>
            <w:szCs w:val="24"/>
            <w:u w:val="single"/>
          </w:rPr>
          <w:t>Lessons learned from designing social impact bonds to expand preschool education</w:t>
        </w:r>
      </w:hyperlink>
      <w:r w:rsidRPr="00FD72C8">
        <w:rPr>
          <w:color w:val="58595B"/>
          <w:sz w:val="24"/>
          <w:szCs w:val="24"/>
        </w:rPr>
        <w:t xml:space="preserve">. This case study showcases lessons learned in Uzbekistan around using social impact bonds to promote </w:t>
      </w:r>
      <w:proofErr w:type="gramStart"/>
      <w:r w:rsidRPr="00FD72C8">
        <w:rPr>
          <w:color w:val="58595B"/>
          <w:sz w:val="24"/>
          <w:szCs w:val="24"/>
        </w:rPr>
        <w:t>a</w:t>
      </w:r>
      <w:proofErr w:type="gramEnd"/>
      <w:r w:rsidRPr="00FD72C8">
        <w:rPr>
          <w:color w:val="58595B"/>
          <w:sz w:val="24"/>
          <w:szCs w:val="24"/>
        </w:rPr>
        <w:t xml:space="preserve"> RBF approach to public-private partnerships to promote early childhood development. While the country ultimately decided not to not use social impact bonds, discussion includes how RBF principles were incorporated into ECE programming.</w:t>
      </w:r>
    </w:p>
    <w:p w14:paraId="605E43A1" w14:textId="77777777" w:rsidR="00160590" w:rsidRPr="00FD72C8" w:rsidRDefault="00160590" w:rsidP="00160590">
      <w:pPr>
        <w:spacing w:line="240" w:lineRule="auto"/>
        <w:rPr>
          <w:color w:val="58595B"/>
          <w:sz w:val="24"/>
          <w:szCs w:val="24"/>
        </w:rPr>
      </w:pPr>
    </w:p>
    <w:p w14:paraId="1538A5FD" w14:textId="693FDABD" w:rsidR="00DF4EAE" w:rsidRPr="00FD72C8" w:rsidRDefault="00DF4EAE" w:rsidP="00FD72C8">
      <w:pPr>
        <w:pStyle w:val="Heading1"/>
        <w:rPr>
          <w:bCs/>
          <w:color w:val="913592"/>
          <w:sz w:val="24"/>
          <w:szCs w:val="24"/>
          <w:lang w:val="en-US" w:bidi="en-US"/>
        </w:rPr>
      </w:pPr>
      <w:r w:rsidRPr="00FD72C8">
        <w:rPr>
          <w:bCs/>
          <w:color w:val="913592"/>
          <w:sz w:val="24"/>
          <w:szCs w:val="24"/>
          <w:lang w:val="en-US" w:bidi="en-US"/>
        </w:rPr>
        <w:t>Public-</w:t>
      </w:r>
      <w:r w:rsidR="00FD72C8">
        <w:rPr>
          <w:bCs/>
          <w:color w:val="913592"/>
          <w:sz w:val="24"/>
          <w:szCs w:val="24"/>
          <w:lang w:val="en-US" w:bidi="en-US"/>
        </w:rPr>
        <w:t>P</w:t>
      </w:r>
      <w:r w:rsidRPr="00FD72C8">
        <w:rPr>
          <w:bCs/>
          <w:color w:val="913592"/>
          <w:sz w:val="24"/>
          <w:szCs w:val="24"/>
          <w:lang w:val="en-US" w:bidi="en-US"/>
        </w:rPr>
        <w:t xml:space="preserve">rivate </w:t>
      </w:r>
      <w:r w:rsidR="00FD72C8">
        <w:rPr>
          <w:bCs/>
          <w:color w:val="913592"/>
          <w:sz w:val="24"/>
          <w:szCs w:val="24"/>
          <w:lang w:val="en-US" w:bidi="en-US"/>
        </w:rPr>
        <w:t>P</w:t>
      </w:r>
      <w:r w:rsidRPr="00FD72C8">
        <w:rPr>
          <w:bCs/>
          <w:color w:val="913592"/>
          <w:sz w:val="24"/>
          <w:szCs w:val="24"/>
          <w:lang w:val="en-US" w:bidi="en-US"/>
        </w:rPr>
        <w:t>artnerships (PPP)</w:t>
      </w:r>
    </w:p>
    <w:p w14:paraId="394485FF" w14:textId="77777777" w:rsidR="00DF4EAE" w:rsidRPr="00FD72C8" w:rsidRDefault="00DF4EAE" w:rsidP="00DF4EAE">
      <w:pPr>
        <w:spacing w:line="240" w:lineRule="auto"/>
        <w:rPr>
          <w:color w:val="58595B"/>
          <w:sz w:val="24"/>
          <w:szCs w:val="24"/>
        </w:rPr>
      </w:pPr>
      <w:r w:rsidRPr="00FD72C8">
        <w:rPr>
          <w:color w:val="58595B"/>
          <w:sz w:val="24"/>
          <w:szCs w:val="24"/>
        </w:rPr>
        <w:t>Public-private partnerships are a form of partnership model that involves the government collaborating with a private entity in a mutually beneficial partnership to provide services for the public. This is not the same a privatization, as the government retains control and responsibility.</w:t>
      </w:r>
    </w:p>
    <w:p w14:paraId="14D54C20" w14:textId="77777777" w:rsidR="00DF4EAE" w:rsidRPr="00FD72C8" w:rsidRDefault="00DF4EAE" w:rsidP="00DF4EAE">
      <w:pPr>
        <w:spacing w:line="240" w:lineRule="auto"/>
        <w:rPr>
          <w:color w:val="58595B"/>
          <w:sz w:val="24"/>
          <w:szCs w:val="24"/>
        </w:rPr>
      </w:pPr>
    </w:p>
    <w:p w14:paraId="3C377229" w14:textId="1B7BC904" w:rsidR="00B32DC7" w:rsidRDefault="00DF4EAE">
      <w:pPr>
        <w:spacing w:line="240" w:lineRule="auto"/>
        <w:rPr>
          <w:b/>
          <w:bCs/>
          <w:color w:val="58595B"/>
          <w:sz w:val="24"/>
          <w:szCs w:val="24"/>
        </w:rPr>
      </w:pPr>
      <w:r w:rsidRPr="00FD72C8">
        <w:rPr>
          <w:b/>
          <w:bCs/>
          <w:color w:val="58595B"/>
          <w:sz w:val="24"/>
          <w:szCs w:val="24"/>
        </w:rPr>
        <w:t>Some different types of PPP are:</w:t>
      </w:r>
    </w:p>
    <w:p w14:paraId="77807E89" w14:textId="77777777" w:rsidR="000B4AB8" w:rsidRPr="00467993" w:rsidRDefault="000B4AB8">
      <w:pPr>
        <w:spacing w:line="240" w:lineRule="auto"/>
        <w:rPr>
          <w:b/>
          <w:bCs/>
          <w:color w:val="58595B"/>
          <w:sz w:val="11"/>
          <w:szCs w:val="11"/>
        </w:rPr>
      </w:pPr>
    </w:p>
    <w:tbl>
      <w:tblPr>
        <w:tblStyle w:val="PlainTable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360"/>
      </w:tblGrid>
      <w:tr w:rsidR="00B32DC7" w:rsidRPr="00FD72C8" w14:paraId="00DE5144" w14:textId="77777777" w:rsidTr="00B32DC7">
        <w:tc>
          <w:tcPr>
            <w:tcW w:w="9360" w:type="dxa"/>
            <w:shd w:val="clear" w:color="auto" w:fill="F2F2F2" w:themeFill="background1" w:themeFillShade="F2"/>
          </w:tcPr>
          <w:p w14:paraId="0AC37789" w14:textId="53BE228F" w:rsidR="00DF4EAE" w:rsidRPr="000B4AB8" w:rsidRDefault="00DF4EAE" w:rsidP="000B4AB8">
            <w:pPr>
              <w:ind w:left="71"/>
              <w:rPr>
                <w:color w:val="8064A2" w:themeColor="accent4"/>
                <w:sz w:val="24"/>
                <w:szCs w:val="24"/>
              </w:rPr>
            </w:pPr>
            <w:r w:rsidRPr="000B4AB8">
              <w:rPr>
                <w:b/>
                <w:color w:val="8064A2" w:themeColor="accent4"/>
                <w:sz w:val="24"/>
                <w:szCs w:val="24"/>
              </w:rPr>
              <w:t>Vouchers</w:t>
            </w:r>
            <w:r w:rsidRPr="000B4AB8">
              <w:rPr>
                <w:color w:val="8064A2" w:themeColor="accent4"/>
                <w:sz w:val="24"/>
                <w:szCs w:val="24"/>
              </w:rPr>
              <w:t xml:space="preserve"> </w:t>
            </w:r>
          </w:p>
          <w:p w14:paraId="05AC6672" w14:textId="07CD73DA" w:rsidR="00254079" w:rsidRPr="00FD72C8" w:rsidRDefault="00DF4EAE" w:rsidP="000B4AB8">
            <w:pPr>
              <w:ind w:left="71"/>
              <w:rPr>
                <w:color w:val="58595B"/>
                <w:sz w:val="24"/>
                <w:szCs w:val="24"/>
              </w:rPr>
            </w:pPr>
            <w:r w:rsidRPr="00FD72C8">
              <w:rPr>
                <w:color w:val="58595B"/>
                <w:sz w:val="24"/>
                <w:szCs w:val="24"/>
              </w:rPr>
              <w:t xml:space="preserve">In a voucher system, eligible families are provided with a voucher that can be redeemed at a verified private preschool, and the school is in turn reimbursed the cost of fees from the government. This reduces costs to families </w:t>
            </w:r>
            <w:proofErr w:type="gramStart"/>
            <w:r w:rsidRPr="00FD72C8">
              <w:rPr>
                <w:color w:val="58595B"/>
                <w:sz w:val="24"/>
                <w:szCs w:val="24"/>
              </w:rPr>
              <w:t>and also</w:t>
            </w:r>
            <w:proofErr w:type="gramEnd"/>
            <w:r w:rsidRPr="00FD72C8">
              <w:rPr>
                <w:color w:val="58595B"/>
                <w:sz w:val="24"/>
                <w:szCs w:val="24"/>
              </w:rPr>
              <w:t xml:space="preserve"> allows families to be targeted based on need.</w:t>
            </w:r>
          </w:p>
          <w:p w14:paraId="51A6AAD6" w14:textId="77777777" w:rsidR="00DF4EAE" w:rsidRPr="00FD72C8" w:rsidRDefault="00DF4EAE" w:rsidP="000B4AB8">
            <w:pPr>
              <w:ind w:left="71"/>
              <w:rPr>
                <w:color w:val="58595B"/>
                <w:sz w:val="24"/>
                <w:szCs w:val="24"/>
              </w:rPr>
            </w:pPr>
          </w:p>
          <w:p w14:paraId="29AA9F61" w14:textId="10CD457E" w:rsidR="00DF4EAE" w:rsidRPr="000B4AB8" w:rsidRDefault="00DF4EAE" w:rsidP="000B4AB8">
            <w:pPr>
              <w:ind w:left="71"/>
              <w:rPr>
                <w:color w:val="8064A2" w:themeColor="accent4"/>
                <w:sz w:val="24"/>
                <w:szCs w:val="24"/>
              </w:rPr>
            </w:pPr>
            <w:r w:rsidRPr="000B4AB8">
              <w:rPr>
                <w:b/>
                <w:color w:val="8064A2" w:themeColor="accent4"/>
                <w:sz w:val="24"/>
                <w:szCs w:val="24"/>
              </w:rPr>
              <w:t>Subsidies or service-delivery initiatives</w:t>
            </w:r>
          </w:p>
          <w:p w14:paraId="3ABAD8A1" w14:textId="7F196E68" w:rsidR="00DF4EAE" w:rsidRPr="00FD72C8" w:rsidRDefault="00DF4EAE" w:rsidP="000B4AB8">
            <w:pPr>
              <w:ind w:left="71"/>
              <w:rPr>
                <w:color w:val="58595B"/>
                <w:sz w:val="24"/>
                <w:szCs w:val="24"/>
              </w:rPr>
            </w:pPr>
            <w:r w:rsidRPr="00FD72C8">
              <w:rPr>
                <w:color w:val="58595B"/>
                <w:sz w:val="24"/>
                <w:szCs w:val="24"/>
              </w:rPr>
              <w:t xml:space="preserve">In a subsidy system, subsidies are provided directly to private preschools, based on characteristics such as the number of teachers employed, or children enrolled. This reduces ongoing costs to preschools and allows preschools to be targeted based on location. Subsidies can take two forms: an ongoing operational subsidy, where preschools receive a subsidy linked to the number of teachers employed, or an initial start-up subsidy or grant, which is a one-time transfer to the preschool. Governments can also choose to tie some or </w:t>
            </w:r>
            <w:proofErr w:type="gramStart"/>
            <w:r w:rsidRPr="00FD72C8">
              <w:rPr>
                <w:color w:val="58595B"/>
                <w:sz w:val="24"/>
                <w:szCs w:val="24"/>
              </w:rPr>
              <w:t>all of</w:t>
            </w:r>
            <w:proofErr w:type="gramEnd"/>
            <w:r w:rsidRPr="00FD72C8">
              <w:rPr>
                <w:color w:val="58595B"/>
                <w:sz w:val="24"/>
                <w:szCs w:val="24"/>
              </w:rPr>
              <w:t xml:space="preserve"> the subsidies to achieved results, thus making it a results-based subsidy, which is a type of RBF mechanism.</w:t>
            </w:r>
          </w:p>
          <w:p w14:paraId="4EA06D0A" w14:textId="77777777" w:rsidR="00DF4EAE" w:rsidRPr="00FD72C8" w:rsidRDefault="00DF4EAE" w:rsidP="000B4AB8">
            <w:pPr>
              <w:ind w:left="71"/>
              <w:rPr>
                <w:color w:val="58595B"/>
                <w:sz w:val="24"/>
                <w:szCs w:val="24"/>
              </w:rPr>
            </w:pPr>
          </w:p>
          <w:p w14:paraId="143C40F2" w14:textId="7DEC2FF4" w:rsidR="00DF4EAE" w:rsidRPr="000B4AB8" w:rsidRDefault="00DF4EAE" w:rsidP="000B4AB8">
            <w:pPr>
              <w:ind w:left="71"/>
              <w:rPr>
                <w:color w:val="8064A2" w:themeColor="accent4"/>
                <w:sz w:val="24"/>
                <w:szCs w:val="24"/>
              </w:rPr>
            </w:pPr>
            <w:r w:rsidRPr="000B4AB8">
              <w:rPr>
                <w:b/>
                <w:color w:val="8064A2" w:themeColor="accent4"/>
                <w:sz w:val="24"/>
                <w:szCs w:val="24"/>
              </w:rPr>
              <w:t>Concessions</w:t>
            </w:r>
          </w:p>
          <w:p w14:paraId="28A03AFC" w14:textId="77777777" w:rsidR="00254079" w:rsidRPr="00FD72C8" w:rsidRDefault="00DF4EAE" w:rsidP="000B4AB8">
            <w:pPr>
              <w:ind w:left="71"/>
              <w:rPr>
                <w:color w:val="58595B"/>
                <w:sz w:val="24"/>
                <w:szCs w:val="24"/>
              </w:rPr>
            </w:pPr>
            <w:r w:rsidRPr="00FD72C8">
              <w:rPr>
                <w:color w:val="58595B"/>
                <w:sz w:val="24"/>
                <w:szCs w:val="24"/>
              </w:rPr>
              <w:t xml:space="preserve">Concessions are special agreements with individual private preschool providers, typically to provide support to the specific preschool provider which is not available to all preschools. This provides increased access by providing focused support that addresses specific barriers to new preschools entering a particular area. Types of concessions include a substantial public investment, reduced rent for the use of </w:t>
            </w:r>
            <w:proofErr w:type="gramStart"/>
            <w:r w:rsidRPr="00FD72C8">
              <w:rPr>
                <w:color w:val="58595B"/>
                <w:sz w:val="24"/>
                <w:szCs w:val="24"/>
              </w:rPr>
              <w:t>publicly-owned</w:t>
            </w:r>
            <w:proofErr w:type="gramEnd"/>
            <w:r w:rsidRPr="00FD72C8">
              <w:rPr>
                <w:color w:val="58595B"/>
                <w:sz w:val="24"/>
                <w:szCs w:val="24"/>
              </w:rPr>
              <w:t xml:space="preserve"> facilities, and the underwriting of a certain number of places at the preschool so they are funded if not filled. </w:t>
            </w:r>
          </w:p>
          <w:p w14:paraId="4EAA9336" w14:textId="68F89E39" w:rsidR="006F13B4" w:rsidRPr="00FD72C8" w:rsidRDefault="006F13B4">
            <w:pPr>
              <w:rPr>
                <w:color w:val="58595B"/>
                <w:sz w:val="24"/>
                <w:szCs w:val="24"/>
              </w:rPr>
            </w:pPr>
          </w:p>
        </w:tc>
      </w:tr>
    </w:tbl>
    <w:p w14:paraId="29CB6E59" w14:textId="77777777" w:rsidR="006F13B4" w:rsidRPr="00FD72C8" w:rsidRDefault="006F13B4" w:rsidP="006F13B4">
      <w:pPr>
        <w:spacing w:line="240" w:lineRule="auto"/>
        <w:rPr>
          <w:color w:val="58595B"/>
          <w:sz w:val="24"/>
          <w:szCs w:val="24"/>
        </w:rPr>
      </w:pPr>
    </w:p>
    <w:p w14:paraId="0828BA69" w14:textId="1305FB9F" w:rsidR="006F13B4" w:rsidRPr="00FD72C8" w:rsidRDefault="006F13B4" w:rsidP="006F13B4">
      <w:pPr>
        <w:spacing w:line="240" w:lineRule="auto"/>
        <w:rPr>
          <w:color w:val="58595B"/>
          <w:sz w:val="24"/>
          <w:szCs w:val="24"/>
        </w:rPr>
      </w:pPr>
      <w:r w:rsidRPr="00FD72C8">
        <w:rPr>
          <w:color w:val="58595B"/>
          <w:sz w:val="24"/>
          <w:szCs w:val="24"/>
        </w:rPr>
        <w:t>For the source of these definitions and more information, see</w:t>
      </w:r>
      <w:r w:rsidR="000B4AB8">
        <w:rPr>
          <w:color w:val="58595B"/>
          <w:sz w:val="24"/>
          <w:szCs w:val="24"/>
        </w:rPr>
        <w:t>:</w:t>
      </w:r>
      <w:r w:rsidRPr="00FD72C8">
        <w:rPr>
          <w:color w:val="58595B"/>
          <w:sz w:val="24"/>
          <w:szCs w:val="24"/>
        </w:rPr>
        <w:t xml:space="preserve"> </w:t>
      </w:r>
      <w:hyperlink r:id="rId37">
        <w:r w:rsidRPr="00FD72C8">
          <w:rPr>
            <w:i/>
            <w:color w:val="58595B"/>
            <w:sz w:val="24"/>
            <w:szCs w:val="24"/>
            <w:u w:val="single"/>
          </w:rPr>
          <w:t>Add today, multiply tomorrow: Building an investment case for early childhood education</w:t>
        </w:r>
      </w:hyperlink>
      <w:r w:rsidRPr="00FD72C8">
        <w:rPr>
          <w:color w:val="58595B"/>
          <w:sz w:val="24"/>
          <w:szCs w:val="24"/>
        </w:rPr>
        <w:t xml:space="preserve">, </w:t>
      </w:r>
      <w:hyperlink r:id="rId38">
        <w:r w:rsidRPr="00FD72C8">
          <w:rPr>
            <w:color w:val="58595B"/>
            <w:sz w:val="24"/>
            <w:szCs w:val="24"/>
            <w:u w:val="single"/>
          </w:rPr>
          <w:t>Results-based financing and results in education for all children (REACH)</w:t>
        </w:r>
      </w:hyperlink>
      <w:r w:rsidRPr="00FD72C8">
        <w:rPr>
          <w:color w:val="58595B"/>
          <w:sz w:val="24"/>
          <w:szCs w:val="24"/>
        </w:rPr>
        <w:t xml:space="preserve">, and </w:t>
      </w:r>
      <w:hyperlink r:id="rId39">
        <w:r w:rsidRPr="00FD72C8">
          <w:rPr>
            <w:i/>
            <w:color w:val="58595B"/>
            <w:sz w:val="24"/>
            <w:szCs w:val="24"/>
            <w:u w:val="single"/>
          </w:rPr>
          <w:t>Using public-private partnerships to expand access to preschool</w:t>
        </w:r>
      </w:hyperlink>
      <w:r w:rsidRPr="00FD72C8">
        <w:rPr>
          <w:color w:val="58595B"/>
          <w:sz w:val="24"/>
          <w:szCs w:val="24"/>
        </w:rPr>
        <w:t xml:space="preserve">). </w:t>
      </w:r>
    </w:p>
    <w:p w14:paraId="1D8410C2" w14:textId="77777777" w:rsidR="006F13B4" w:rsidRPr="00FD72C8" w:rsidRDefault="006F13B4" w:rsidP="006F13B4">
      <w:pPr>
        <w:spacing w:line="240" w:lineRule="auto"/>
        <w:rPr>
          <w:color w:val="58595B"/>
          <w:sz w:val="24"/>
          <w:szCs w:val="24"/>
        </w:rPr>
      </w:pPr>
    </w:p>
    <w:p w14:paraId="6E83A84F" w14:textId="31B0D7A6" w:rsidR="006F13B4" w:rsidRPr="00FD72C8" w:rsidRDefault="006F13B4" w:rsidP="006F13B4">
      <w:pPr>
        <w:spacing w:line="240" w:lineRule="auto"/>
        <w:rPr>
          <w:color w:val="58595B"/>
          <w:sz w:val="24"/>
          <w:szCs w:val="24"/>
        </w:rPr>
      </w:pPr>
      <w:r w:rsidRPr="00FD72C8">
        <w:rPr>
          <w:color w:val="58595B"/>
          <w:sz w:val="24"/>
          <w:szCs w:val="24"/>
        </w:rPr>
        <w:t xml:space="preserve">For a table outlining these and additional various innovative financing mechanisms and potential benefits and drawbacks, please see </w:t>
      </w:r>
      <w:r w:rsidRPr="00FD72C8">
        <w:rPr>
          <w:color w:val="58595B"/>
          <w:sz w:val="24"/>
          <w:szCs w:val="24"/>
          <w:u w:val="single"/>
        </w:rPr>
        <w:t>Annex 1</w:t>
      </w:r>
      <w:r w:rsidR="00004344">
        <w:rPr>
          <w:color w:val="58595B"/>
          <w:sz w:val="24"/>
          <w:szCs w:val="24"/>
          <w:u w:val="single"/>
        </w:rPr>
        <w:t xml:space="preserve"> below</w:t>
      </w:r>
      <w:r w:rsidRPr="00FD72C8">
        <w:rPr>
          <w:color w:val="58595B"/>
          <w:sz w:val="24"/>
          <w:szCs w:val="24"/>
        </w:rPr>
        <w:t>.</w:t>
      </w:r>
    </w:p>
    <w:p w14:paraId="4BDCC3A1" w14:textId="77777777" w:rsidR="006F13B4" w:rsidRPr="00FD72C8" w:rsidRDefault="006F13B4" w:rsidP="006F13B4">
      <w:pPr>
        <w:spacing w:before="240" w:after="240"/>
        <w:rPr>
          <w:color w:val="58595B"/>
          <w:sz w:val="24"/>
          <w:szCs w:val="24"/>
        </w:rPr>
      </w:pPr>
      <w:r w:rsidRPr="00FD72C8">
        <w:rPr>
          <w:color w:val="58595B"/>
          <w:sz w:val="24"/>
          <w:szCs w:val="24"/>
        </w:rPr>
        <w:lastRenderedPageBreak/>
        <w:t xml:space="preserve">For innovative financing mechanisms to be used successfully, their design and implementation need to consider the </w:t>
      </w:r>
      <w:proofErr w:type="gramStart"/>
      <w:r w:rsidRPr="00FD72C8">
        <w:rPr>
          <w:color w:val="58595B"/>
          <w:sz w:val="24"/>
          <w:szCs w:val="24"/>
        </w:rPr>
        <w:t>particular economic</w:t>
      </w:r>
      <w:proofErr w:type="gramEnd"/>
      <w:r w:rsidRPr="00FD72C8">
        <w:rPr>
          <w:color w:val="58595B"/>
          <w:sz w:val="24"/>
          <w:szCs w:val="24"/>
        </w:rPr>
        <w:t xml:space="preserve">, political, and social conditions of the implementing country. It is also imperative that equity is kept at the forefront while using both innovative financing sources and mechanisms. </w:t>
      </w:r>
    </w:p>
    <w:p w14:paraId="73C5D928" w14:textId="7C550FFD" w:rsidR="006F13B4" w:rsidRPr="00FD72C8" w:rsidRDefault="006F13B4" w:rsidP="006F13B4">
      <w:pPr>
        <w:spacing w:before="240" w:after="240"/>
        <w:rPr>
          <w:color w:val="58595B"/>
          <w:sz w:val="24"/>
          <w:szCs w:val="24"/>
        </w:rPr>
      </w:pPr>
      <w:r w:rsidRPr="00FD72C8">
        <w:rPr>
          <w:color w:val="58595B"/>
          <w:sz w:val="24"/>
          <w:szCs w:val="24"/>
        </w:rPr>
        <w:t xml:space="preserve">While innovative financing can provide a jump start in terms of being interested in and investing in ECE, it is important that ECE not be solely associated with innovative financing but </w:t>
      </w:r>
      <w:hyperlink r:id="rId40">
        <w:r w:rsidRPr="00FD72C8">
          <w:rPr>
            <w:color w:val="58595B"/>
            <w:sz w:val="24"/>
            <w:szCs w:val="24"/>
            <w:u w:val="single"/>
          </w:rPr>
          <w:t>also benefit from traditional sources of finance</w:t>
        </w:r>
      </w:hyperlink>
      <w:r w:rsidRPr="00FD72C8">
        <w:rPr>
          <w:color w:val="58595B"/>
          <w:sz w:val="24"/>
          <w:szCs w:val="24"/>
        </w:rPr>
        <w:t xml:space="preserve">. Financing for the pre-primary subsector needs to be integrated into financing for core services while leveraging these innovative sources and mechanisms </w:t>
      </w:r>
      <w:proofErr w:type="gramStart"/>
      <w:r w:rsidRPr="00FD72C8">
        <w:rPr>
          <w:color w:val="58595B"/>
          <w:sz w:val="24"/>
          <w:szCs w:val="24"/>
        </w:rPr>
        <w:t>in order to</w:t>
      </w:r>
      <w:proofErr w:type="gramEnd"/>
      <w:r w:rsidRPr="00FD72C8">
        <w:rPr>
          <w:color w:val="58595B"/>
          <w:sz w:val="24"/>
          <w:szCs w:val="24"/>
        </w:rPr>
        <w:t xml:space="preserve"> improve access to and the quality of ECE services.</w:t>
      </w:r>
      <w:bookmarkStart w:id="3" w:name="_qrsrv0l1z3ly" w:colFirst="0" w:colLast="0"/>
      <w:bookmarkEnd w:id="3"/>
    </w:p>
    <w:p w14:paraId="15C04DFE" w14:textId="77777777" w:rsidR="000B4AB8" w:rsidRDefault="006F13B4" w:rsidP="000B4AB8">
      <w:pPr>
        <w:widowControl w:val="0"/>
        <w:pBdr>
          <w:top w:val="nil"/>
          <w:left w:val="nil"/>
          <w:bottom w:val="nil"/>
          <w:right w:val="nil"/>
          <w:between w:val="nil"/>
        </w:pBdr>
        <w:spacing w:line="240" w:lineRule="auto"/>
        <w:rPr>
          <w:b/>
          <w:bCs/>
          <w:color w:val="58595B"/>
          <w:sz w:val="24"/>
          <w:szCs w:val="24"/>
        </w:rPr>
      </w:pPr>
      <w:r w:rsidRPr="00FD72C8">
        <w:rPr>
          <w:b/>
          <w:bCs/>
          <w:color w:val="58595B"/>
          <w:sz w:val="24"/>
          <w:szCs w:val="24"/>
        </w:rPr>
        <w:t>PPP Key Reference Documents</w:t>
      </w:r>
    </w:p>
    <w:p w14:paraId="32DDA24A" w14:textId="4F980338" w:rsidR="00DF4EAE" w:rsidRPr="000B4AB8" w:rsidRDefault="00000000" w:rsidP="000B4AB8">
      <w:pPr>
        <w:pStyle w:val="ListParagraph"/>
        <w:widowControl w:val="0"/>
        <w:numPr>
          <w:ilvl w:val="0"/>
          <w:numId w:val="46"/>
        </w:numPr>
        <w:pBdr>
          <w:top w:val="nil"/>
          <w:left w:val="nil"/>
          <w:bottom w:val="nil"/>
          <w:right w:val="nil"/>
          <w:between w:val="nil"/>
        </w:pBdr>
        <w:spacing w:line="240" w:lineRule="auto"/>
        <w:rPr>
          <w:b/>
          <w:bCs/>
          <w:color w:val="58595B"/>
          <w:sz w:val="24"/>
          <w:szCs w:val="24"/>
        </w:rPr>
      </w:pPr>
      <w:hyperlink r:id="rId41">
        <w:r w:rsidR="00DF4EAE" w:rsidRPr="000B4AB8">
          <w:rPr>
            <w:color w:val="58595B"/>
            <w:sz w:val="24"/>
            <w:szCs w:val="24"/>
            <w:u w:val="single"/>
          </w:rPr>
          <w:t>Public-private partnerships in early childhood development: The role of publicly funded private provision</w:t>
        </w:r>
      </w:hyperlink>
      <w:r w:rsidR="00DF4EAE" w:rsidRPr="000B4AB8">
        <w:rPr>
          <w:color w:val="58595B"/>
          <w:sz w:val="24"/>
          <w:szCs w:val="24"/>
        </w:rPr>
        <w:t xml:space="preserve"> (Brookings, 2017). This study explores the application of PPPs for pre-primary education and parent education about early stimulation, analyzing the potential to address capacity constraints as well as potential challenges. Case studies of PPPs for ECD in Mozambique and South Africa are included. </w:t>
      </w:r>
    </w:p>
    <w:p w14:paraId="7BA7BC1C" w14:textId="77777777" w:rsidR="00DF4EAE" w:rsidRPr="00FD72C8" w:rsidRDefault="00000000" w:rsidP="000B4AB8">
      <w:pPr>
        <w:numPr>
          <w:ilvl w:val="0"/>
          <w:numId w:val="45"/>
        </w:numPr>
        <w:rPr>
          <w:color w:val="58595B"/>
          <w:sz w:val="24"/>
          <w:szCs w:val="24"/>
        </w:rPr>
      </w:pPr>
      <w:hyperlink r:id="rId42">
        <w:r w:rsidR="00DF4EAE" w:rsidRPr="00FD72C8">
          <w:rPr>
            <w:color w:val="58595B"/>
            <w:sz w:val="24"/>
            <w:szCs w:val="24"/>
            <w:u w:val="single"/>
          </w:rPr>
          <w:t>Public-private partnerships in early childhood education: International experience and lessons for Uzbekistan</w:t>
        </w:r>
      </w:hyperlink>
      <w:r w:rsidR="00DF4EAE" w:rsidRPr="00FD72C8">
        <w:rPr>
          <w:color w:val="58595B"/>
          <w:sz w:val="24"/>
          <w:szCs w:val="24"/>
        </w:rPr>
        <w:t xml:space="preserve"> (UNICEF, 2018). This review of PPP models in general and in pre-school education looks </w:t>
      </w:r>
      <w:proofErr w:type="spellStart"/>
      <w:proofErr w:type="gramStart"/>
      <w:r w:rsidR="00DF4EAE" w:rsidRPr="00FD72C8">
        <w:rPr>
          <w:color w:val="58595B"/>
          <w:sz w:val="24"/>
          <w:szCs w:val="24"/>
        </w:rPr>
        <w:t>a</w:t>
      </w:r>
      <w:proofErr w:type="spellEnd"/>
      <w:r w:rsidR="00DF4EAE" w:rsidRPr="00FD72C8">
        <w:rPr>
          <w:color w:val="58595B"/>
          <w:sz w:val="24"/>
          <w:szCs w:val="24"/>
        </w:rPr>
        <w:t xml:space="preserve"> the</w:t>
      </w:r>
      <w:proofErr w:type="gramEnd"/>
      <w:r w:rsidR="00DF4EAE" w:rsidRPr="00FD72C8">
        <w:rPr>
          <w:color w:val="58595B"/>
          <w:sz w:val="24"/>
          <w:szCs w:val="24"/>
        </w:rPr>
        <w:t xml:space="preserve"> different type of PPP models and potential benefits and challenges for education, taking into consideration educational objectives of access, quality, equity, and efficiency. </w:t>
      </w:r>
    </w:p>
    <w:p w14:paraId="7E0AD23C" w14:textId="77777777" w:rsidR="00DF4EAE" w:rsidRPr="00FD72C8" w:rsidRDefault="00000000" w:rsidP="000B4AB8">
      <w:pPr>
        <w:numPr>
          <w:ilvl w:val="0"/>
          <w:numId w:val="45"/>
        </w:numPr>
        <w:rPr>
          <w:color w:val="58595B"/>
          <w:sz w:val="24"/>
          <w:szCs w:val="24"/>
        </w:rPr>
      </w:pPr>
      <w:hyperlink r:id="rId43">
        <w:r w:rsidR="00DF4EAE" w:rsidRPr="00FD72C8">
          <w:rPr>
            <w:color w:val="58595B"/>
            <w:sz w:val="24"/>
            <w:szCs w:val="24"/>
            <w:u w:val="single"/>
          </w:rPr>
          <w:t>Public-private partnerships in education: Conditions for success</w:t>
        </w:r>
      </w:hyperlink>
      <w:r w:rsidR="00DF4EAE" w:rsidRPr="00FD72C8">
        <w:rPr>
          <w:color w:val="58595B"/>
          <w:sz w:val="24"/>
          <w:szCs w:val="24"/>
        </w:rPr>
        <w:t xml:space="preserve"> (Education Finance Network &amp; USAID, 2023). This evidence brief reviews the literature on PPPs in primary and secondary education and identifies the necessary conditions for the effective implementation of PPP models. </w:t>
      </w:r>
    </w:p>
    <w:p w14:paraId="09449338" w14:textId="77777777" w:rsidR="002A1A2C" w:rsidRDefault="00000000" w:rsidP="000B4AB8">
      <w:pPr>
        <w:numPr>
          <w:ilvl w:val="0"/>
          <w:numId w:val="45"/>
        </w:numPr>
        <w:rPr>
          <w:color w:val="58595B"/>
          <w:sz w:val="24"/>
          <w:szCs w:val="24"/>
        </w:rPr>
      </w:pPr>
      <w:hyperlink r:id="rId44">
        <w:r w:rsidR="00DF4EAE" w:rsidRPr="00FD72C8">
          <w:rPr>
            <w:color w:val="58595B"/>
            <w:sz w:val="24"/>
            <w:szCs w:val="24"/>
            <w:u w:val="single"/>
          </w:rPr>
          <w:t>Using public-private partnerships to expand access to preschool</w:t>
        </w:r>
      </w:hyperlink>
      <w:r w:rsidR="00DF4EAE" w:rsidRPr="00FD72C8">
        <w:rPr>
          <w:color w:val="58595B"/>
          <w:sz w:val="24"/>
          <w:szCs w:val="24"/>
        </w:rPr>
        <w:t xml:space="preserve"> (Oxford Policy Management, 2021). This brief provides a summary of lessons learned from a study conducted by Oxford Policy Management for UNICEF Serbia on the feasibility of PPP to expand access to preschool equitably. Case studies from Austria, Finland, Latvia, Norway, and Slovenia are included. More information can be found </w:t>
      </w:r>
      <w:hyperlink r:id="rId45">
        <w:r w:rsidR="00DF4EAE" w:rsidRPr="00FD72C8">
          <w:rPr>
            <w:color w:val="58595B"/>
            <w:sz w:val="24"/>
            <w:szCs w:val="24"/>
            <w:u w:val="single"/>
          </w:rPr>
          <w:t>here</w:t>
        </w:r>
      </w:hyperlink>
      <w:r w:rsidR="00DF4EAE" w:rsidRPr="00FD72C8">
        <w:rPr>
          <w:color w:val="58595B"/>
          <w:sz w:val="24"/>
          <w:szCs w:val="24"/>
        </w:rPr>
        <w:t>.</w:t>
      </w:r>
      <w:bookmarkStart w:id="4" w:name="_14na89d0uo5k" w:colFirst="0" w:colLast="0"/>
      <w:bookmarkEnd w:id="4"/>
    </w:p>
    <w:p w14:paraId="2875A643" w14:textId="77777777" w:rsidR="002A1A2C" w:rsidRDefault="002A1A2C" w:rsidP="002A1A2C">
      <w:pPr>
        <w:ind w:left="360"/>
        <w:rPr>
          <w:color w:val="58595B"/>
          <w:sz w:val="24"/>
          <w:szCs w:val="24"/>
        </w:rPr>
      </w:pPr>
    </w:p>
    <w:p w14:paraId="295148E5" w14:textId="7ED3B5F6" w:rsidR="002A1A2C" w:rsidRPr="003C048E" w:rsidRDefault="00000000" w:rsidP="003C048E">
      <w:pPr>
        <w:rPr>
          <w:b/>
          <w:color w:val="913592"/>
          <w:sz w:val="24"/>
          <w:szCs w:val="24"/>
          <w:lang w:val="en-US" w:bidi="en-US"/>
        </w:rPr>
      </w:pPr>
      <w:r w:rsidRPr="003C048E">
        <w:rPr>
          <w:b/>
          <w:color w:val="913592"/>
          <w:sz w:val="24"/>
          <w:szCs w:val="24"/>
          <w:lang w:val="en-US" w:bidi="en-US"/>
        </w:rPr>
        <w:t xml:space="preserve">Funding </w:t>
      </w:r>
      <w:r w:rsidR="000B4AB8" w:rsidRPr="003C048E">
        <w:rPr>
          <w:b/>
          <w:color w:val="913592"/>
          <w:sz w:val="24"/>
          <w:szCs w:val="24"/>
          <w:lang w:val="en-US" w:bidi="en-US"/>
        </w:rPr>
        <w:t>S</w:t>
      </w:r>
      <w:r w:rsidRPr="003C048E">
        <w:rPr>
          <w:b/>
          <w:color w:val="913592"/>
          <w:sz w:val="24"/>
          <w:szCs w:val="24"/>
          <w:lang w:val="en-US" w:bidi="en-US"/>
        </w:rPr>
        <w:t xml:space="preserve">pecific to GPE </w:t>
      </w:r>
      <w:r w:rsidR="000B4AB8" w:rsidRPr="003C048E">
        <w:rPr>
          <w:b/>
          <w:color w:val="913592"/>
          <w:sz w:val="24"/>
          <w:szCs w:val="24"/>
          <w:lang w:val="en-US" w:bidi="en-US"/>
        </w:rPr>
        <w:t>C</w:t>
      </w:r>
      <w:r w:rsidRPr="003C048E">
        <w:rPr>
          <w:b/>
          <w:color w:val="913592"/>
          <w:sz w:val="24"/>
          <w:szCs w:val="24"/>
          <w:lang w:val="en-US" w:bidi="en-US"/>
        </w:rPr>
        <w:t>ountries</w:t>
      </w:r>
    </w:p>
    <w:p w14:paraId="04FA696E" w14:textId="7B23344F" w:rsidR="00254079" w:rsidRPr="002A1A2C" w:rsidRDefault="00000000" w:rsidP="003C048E">
      <w:pPr>
        <w:rPr>
          <w:color w:val="58595B"/>
          <w:sz w:val="24"/>
          <w:szCs w:val="24"/>
        </w:rPr>
      </w:pPr>
      <w:r w:rsidRPr="002A1A2C">
        <w:rPr>
          <w:color w:val="58595B"/>
          <w:sz w:val="24"/>
          <w:szCs w:val="24"/>
        </w:rPr>
        <w:t xml:space="preserve">The Global Partnership for Education (GPE) is a multi-stakeholder partnership global fund </w:t>
      </w:r>
      <w:r w:rsidR="002A1A2C">
        <w:rPr>
          <w:color w:val="58595B"/>
          <w:sz w:val="24"/>
          <w:szCs w:val="24"/>
        </w:rPr>
        <w:t xml:space="preserve">is </w:t>
      </w:r>
      <w:r w:rsidRPr="002A1A2C">
        <w:rPr>
          <w:color w:val="58595B"/>
          <w:sz w:val="24"/>
          <w:szCs w:val="24"/>
        </w:rPr>
        <w:t xml:space="preserve">dedicated to transforming education in lower-income countries. GPE both brings together donors, multilateral institutions, civil society, teacher representatives, philanthropic foundations, and the private sector behind </w:t>
      </w:r>
      <w:hyperlink r:id="rId46">
        <w:r w:rsidRPr="002A1A2C">
          <w:rPr>
            <w:color w:val="58595B"/>
            <w:sz w:val="24"/>
            <w:szCs w:val="24"/>
            <w:u w:val="single"/>
          </w:rPr>
          <w:t>partner country</w:t>
        </w:r>
      </w:hyperlink>
      <w:r w:rsidRPr="002A1A2C">
        <w:rPr>
          <w:color w:val="58595B"/>
          <w:sz w:val="24"/>
          <w:szCs w:val="24"/>
        </w:rPr>
        <w:t xml:space="preserve"> governments’ plans as well as provides financing to catalyze reforms and support national action and commitment. </w:t>
      </w:r>
    </w:p>
    <w:p w14:paraId="4877CC94" w14:textId="77777777" w:rsidR="00975857" w:rsidRDefault="00000000" w:rsidP="003C048E">
      <w:pPr>
        <w:spacing w:before="240" w:after="240"/>
        <w:rPr>
          <w:color w:val="58595B"/>
          <w:sz w:val="24"/>
          <w:szCs w:val="24"/>
        </w:rPr>
      </w:pPr>
      <w:r w:rsidRPr="002A1A2C">
        <w:rPr>
          <w:color w:val="58595B"/>
          <w:sz w:val="24"/>
          <w:szCs w:val="24"/>
        </w:rPr>
        <w:t xml:space="preserve">GPE’s 2025 operating model is centered around the partnership compact. The partnership compact is a policy framework that articulates priority areas for reform. </w:t>
      </w:r>
    </w:p>
    <w:p w14:paraId="3453B156" w14:textId="77777777" w:rsidR="00975857" w:rsidRDefault="00975857" w:rsidP="003C048E">
      <w:pPr>
        <w:spacing w:before="240" w:after="240"/>
        <w:rPr>
          <w:color w:val="58595B"/>
          <w:sz w:val="24"/>
          <w:szCs w:val="24"/>
        </w:rPr>
      </w:pPr>
    </w:p>
    <w:p w14:paraId="33593F1F" w14:textId="77777777" w:rsidR="00975857" w:rsidRDefault="00000000" w:rsidP="003C048E">
      <w:pPr>
        <w:spacing w:before="240" w:after="240"/>
        <w:rPr>
          <w:color w:val="58595B"/>
          <w:sz w:val="24"/>
          <w:szCs w:val="24"/>
        </w:rPr>
      </w:pPr>
      <w:r w:rsidRPr="002A1A2C">
        <w:rPr>
          <w:color w:val="58595B"/>
          <w:sz w:val="24"/>
          <w:szCs w:val="24"/>
        </w:rPr>
        <w:t>It articulates how a GPE partner country “intends to work together with partners around a priority reform that has the potential to catalyze system change” (</w:t>
      </w:r>
      <w:hyperlink r:id="rId47">
        <w:r w:rsidRPr="002A1A2C">
          <w:rPr>
            <w:color w:val="58595B"/>
            <w:sz w:val="24"/>
            <w:szCs w:val="24"/>
            <w:u w:val="single"/>
          </w:rPr>
          <w:t>GPE, 2021</w:t>
        </w:r>
      </w:hyperlink>
      <w:r w:rsidRPr="002A1A2C">
        <w:rPr>
          <w:color w:val="58595B"/>
          <w:sz w:val="24"/>
          <w:szCs w:val="24"/>
        </w:rPr>
        <w:t xml:space="preserve">). The compact serves as a blueprint for mutual accountability among partners and is used as background information by the GPE Board of Directors for the approval of the strategic focus and amount of the System Transformation Grant. </w:t>
      </w:r>
    </w:p>
    <w:p w14:paraId="15AB4168" w14:textId="09C706B7" w:rsidR="00254079" w:rsidRPr="002A1A2C" w:rsidRDefault="00000000" w:rsidP="003C048E">
      <w:pPr>
        <w:spacing w:before="240" w:after="240"/>
        <w:rPr>
          <w:color w:val="58595B"/>
          <w:sz w:val="24"/>
          <w:szCs w:val="24"/>
        </w:rPr>
      </w:pPr>
      <w:r w:rsidRPr="002A1A2C">
        <w:rPr>
          <w:color w:val="58595B"/>
          <w:sz w:val="24"/>
          <w:szCs w:val="24"/>
        </w:rPr>
        <w:t xml:space="preserve">Additionally, the partnership compact is the basis on which most additional GPE support (technical or financial) can be sought. More information about GPE’s partnership compact can be found </w:t>
      </w:r>
      <w:hyperlink r:id="rId48" w:anchor="partnership-compact">
        <w:r w:rsidRPr="002A1A2C">
          <w:rPr>
            <w:color w:val="58595B"/>
            <w:sz w:val="24"/>
            <w:szCs w:val="24"/>
            <w:u w:val="single"/>
          </w:rPr>
          <w:t>here</w:t>
        </w:r>
      </w:hyperlink>
      <w:r w:rsidRPr="002A1A2C">
        <w:rPr>
          <w:color w:val="58595B"/>
          <w:sz w:val="24"/>
          <w:szCs w:val="24"/>
        </w:rPr>
        <w:t xml:space="preserve">. </w:t>
      </w:r>
    </w:p>
    <w:p w14:paraId="65F8FF35" w14:textId="0C9DA2B5" w:rsidR="00254079" w:rsidRPr="00467993" w:rsidRDefault="00000000" w:rsidP="00467993">
      <w:pPr>
        <w:rPr>
          <w:b/>
          <w:bCs/>
          <w:color w:val="58595B"/>
          <w:sz w:val="24"/>
          <w:szCs w:val="24"/>
        </w:rPr>
      </w:pPr>
      <w:r w:rsidRPr="00467993">
        <w:rPr>
          <w:b/>
          <w:bCs/>
          <w:color w:val="58595B"/>
          <w:sz w:val="24"/>
          <w:szCs w:val="24"/>
        </w:rPr>
        <w:t xml:space="preserve">GPE offers </w:t>
      </w:r>
      <w:hyperlink r:id="rId49">
        <w:r w:rsidRPr="00467993">
          <w:rPr>
            <w:rStyle w:val="Hyperlink"/>
            <w:b/>
            <w:bCs/>
            <w:color w:val="58595B"/>
            <w:sz w:val="24"/>
            <w:szCs w:val="24"/>
          </w:rPr>
          <w:t>different types of grants</w:t>
        </w:r>
      </w:hyperlink>
      <w:r w:rsidRPr="00467993">
        <w:rPr>
          <w:b/>
          <w:bCs/>
          <w:color w:val="58595B"/>
          <w:sz w:val="24"/>
          <w:szCs w:val="24"/>
        </w:rPr>
        <w:t xml:space="preserve"> to support education in partner countries. These include</w:t>
      </w:r>
      <w:r w:rsidR="006F13B4" w:rsidRPr="00467993">
        <w:rPr>
          <w:b/>
          <w:bCs/>
          <w:color w:val="58595B"/>
          <w:sz w:val="24"/>
          <w:szCs w:val="24"/>
        </w:rPr>
        <w:t>:</w:t>
      </w:r>
    </w:p>
    <w:tbl>
      <w:tblPr>
        <w:tblStyle w:val="af2"/>
        <w:tblW w:w="9360" w:type="dxa"/>
        <w:shd w:val="clear" w:color="auto" w:fill="F2F2F2" w:themeFill="background1" w:themeFillShade="F2"/>
        <w:tblLayout w:type="fixed"/>
        <w:tblLook w:val="0600" w:firstRow="0" w:lastRow="0" w:firstColumn="0" w:lastColumn="0" w:noHBand="1" w:noVBand="1"/>
      </w:tblPr>
      <w:tblGrid>
        <w:gridCol w:w="9360"/>
      </w:tblGrid>
      <w:tr w:rsidR="00DF4EAE" w:rsidRPr="00FD72C8" w14:paraId="3DA4FE75" w14:textId="77777777" w:rsidTr="00FD72C8">
        <w:trPr>
          <w:trHeight w:val="971"/>
        </w:trPr>
        <w:tc>
          <w:tcPr>
            <w:tcW w:w="9360" w:type="dxa"/>
            <w:shd w:val="clear" w:color="auto" w:fill="F2F2F2" w:themeFill="background1" w:themeFillShade="F2"/>
            <w:tcMar>
              <w:top w:w="100" w:type="dxa"/>
              <w:left w:w="100" w:type="dxa"/>
              <w:bottom w:w="100" w:type="dxa"/>
              <w:right w:w="100" w:type="dxa"/>
            </w:tcMar>
          </w:tcPr>
          <w:p w14:paraId="6E69E993" w14:textId="57A38078" w:rsidR="00DF4EAE" w:rsidRPr="000B4AB8" w:rsidRDefault="00000000" w:rsidP="000B4AB8">
            <w:pPr>
              <w:spacing w:before="240" w:after="240"/>
              <w:ind w:left="71"/>
              <w:rPr>
                <w:color w:val="8064A2" w:themeColor="accent4"/>
                <w:sz w:val="24"/>
                <w:szCs w:val="24"/>
              </w:rPr>
            </w:pPr>
            <w:hyperlink r:id="rId50" w:anchor="system-capacity-grant">
              <w:r w:rsidRPr="000B4AB8">
                <w:rPr>
                  <w:b/>
                  <w:color w:val="8064A2" w:themeColor="accent4"/>
                  <w:sz w:val="24"/>
                  <w:szCs w:val="24"/>
                  <w:u w:val="single"/>
                </w:rPr>
                <w:t>System Capacity Grants (SCGs)</w:t>
              </w:r>
            </w:hyperlink>
          </w:p>
          <w:p w14:paraId="0F53E222" w14:textId="77777777" w:rsidR="002A1A2C" w:rsidRDefault="00000000" w:rsidP="000B4AB8">
            <w:pPr>
              <w:spacing w:before="240" w:after="240"/>
              <w:ind w:left="71"/>
              <w:rPr>
                <w:color w:val="58595B"/>
                <w:sz w:val="24"/>
                <w:szCs w:val="24"/>
              </w:rPr>
            </w:pPr>
            <w:r w:rsidRPr="00FD72C8">
              <w:rPr>
                <w:color w:val="58595B"/>
                <w:sz w:val="24"/>
                <w:szCs w:val="24"/>
              </w:rPr>
              <w:t xml:space="preserve">These grant allocations range from $1,000,000 to $5,000,000 over a five-year period from 2021 until 2025 included. SCGs provide continually available and flexible funding to support system-wide capacity strengthening across all aspects of GPE’s country-level objectives. It is a key lever for further GPE funding and a building block in support of countries’ capacity to build stronger education systems. The full amount of the SCG does not need to be programmed at the time of the compact. </w:t>
            </w:r>
          </w:p>
          <w:p w14:paraId="03BBDA6A" w14:textId="47DD495A" w:rsidR="00DF4EAE" w:rsidRPr="00FD72C8" w:rsidRDefault="00000000" w:rsidP="000B4AB8">
            <w:pPr>
              <w:spacing w:before="240" w:after="240"/>
              <w:ind w:left="71"/>
              <w:rPr>
                <w:color w:val="58595B"/>
                <w:sz w:val="24"/>
                <w:szCs w:val="24"/>
              </w:rPr>
            </w:pPr>
            <w:r w:rsidRPr="00FD72C8">
              <w:rPr>
                <w:color w:val="58595B"/>
                <w:sz w:val="24"/>
                <w:szCs w:val="24"/>
              </w:rPr>
              <w:t xml:space="preserve">GPE partner countries can draw down SCG funding flexibly to respond adaptively to needs that arise during implementation of plans or policies. Examples of project SCGs can fund include: a detailed diagnostic of the ECE subsector; strengthening of education management information systems (EMIS) to include ECE from many different service providers; cross-sectoral convening on early childhood development; and institutional capacity needs assessments for ECE officials and/or capacity building for centralized and decentralized officials. </w:t>
            </w:r>
          </w:p>
          <w:p w14:paraId="1E4C60F1" w14:textId="77777777" w:rsidR="000B4AB8" w:rsidRDefault="00000000" w:rsidP="000B4AB8">
            <w:pPr>
              <w:spacing w:before="240" w:after="240"/>
              <w:ind w:left="71"/>
              <w:rPr>
                <w:color w:val="8064A2" w:themeColor="accent4"/>
                <w:sz w:val="24"/>
                <w:szCs w:val="24"/>
              </w:rPr>
            </w:pPr>
            <w:hyperlink r:id="rId51" w:anchor="system-transformation-grant">
              <w:r w:rsidR="00DF4EAE" w:rsidRPr="000B4AB8">
                <w:rPr>
                  <w:b/>
                  <w:color w:val="8064A2" w:themeColor="accent4"/>
                  <w:sz w:val="24"/>
                  <w:szCs w:val="24"/>
                  <w:u w:val="single"/>
                </w:rPr>
                <w:t>System Transformation Grants (STGs)</w:t>
              </w:r>
            </w:hyperlink>
          </w:p>
          <w:p w14:paraId="282B76D2" w14:textId="77777777" w:rsidR="002A1A2C" w:rsidRDefault="00DF4EAE" w:rsidP="000B4AB8">
            <w:pPr>
              <w:spacing w:before="240" w:after="240"/>
              <w:ind w:left="71"/>
              <w:rPr>
                <w:color w:val="58595B"/>
                <w:sz w:val="24"/>
                <w:szCs w:val="24"/>
              </w:rPr>
            </w:pPr>
            <w:r w:rsidRPr="00FD72C8">
              <w:rPr>
                <w:color w:val="58595B"/>
                <w:sz w:val="24"/>
                <w:szCs w:val="24"/>
              </w:rPr>
              <w:t xml:space="preserve">STGs aim to help countries use GPE grant resources to focus on key sector bottlenecks and to achieve system transformation. STGs take a flexible approach to requirements and results-based financing towards identifying and addressing policy gaps, </w:t>
            </w:r>
            <w:proofErr w:type="gramStart"/>
            <w:r w:rsidRPr="00FD72C8">
              <w:rPr>
                <w:color w:val="58595B"/>
                <w:sz w:val="24"/>
                <w:szCs w:val="24"/>
              </w:rPr>
              <w:t>as long as</w:t>
            </w:r>
            <w:proofErr w:type="gramEnd"/>
            <w:r w:rsidRPr="00FD72C8">
              <w:rPr>
                <w:color w:val="58595B"/>
                <w:sz w:val="24"/>
                <w:szCs w:val="24"/>
              </w:rPr>
              <w:t xml:space="preserve"> countries demonstrate commitment to education according to their ability.</w:t>
            </w:r>
          </w:p>
          <w:p w14:paraId="72306B69" w14:textId="267A1F1F" w:rsidR="00DF4EAE" w:rsidRPr="000B4AB8" w:rsidRDefault="00DF4EAE" w:rsidP="000B4AB8">
            <w:pPr>
              <w:spacing w:before="240" w:after="240"/>
              <w:ind w:left="71"/>
              <w:rPr>
                <w:color w:val="8064A2" w:themeColor="accent4"/>
                <w:sz w:val="24"/>
                <w:szCs w:val="24"/>
              </w:rPr>
            </w:pPr>
            <w:r w:rsidRPr="00FD72C8">
              <w:rPr>
                <w:color w:val="58595B"/>
                <w:sz w:val="24"/>
                <w:szCs w:val="24"/>
              </w:rPr>
              <w:t>Up to 40% of a partner country’s maximum country allocation can be linked to the country’s status regarding the gaps identified in the review of enabling factors during the partnership compact development process.</w:t>
            </w:r>
          </w:p>
          <w:p w14:paraId="4695A2EA" w14:textId="77777777" w:rsidR="00DF4EAE" w:rsidRPr="000B4AB8" w:rsidRDefault="00000000" w:rsidP="000B4AB8">
            <w:pPr>
              <w:spacing w:before="240" w:after="240"/>
              <w:ind w:left="71"/>
              <w:rPr>
                <w:color w:val="8064A2" w:themeColor="accent4"/>
                <w:sz w:val="24"/>
                <w:szCs w:val="24"/>
              </w:rPr>
            </w:pPr>
            <w:hyperlink r:id="rId52" w:anchor="gpe-multiplier">
              <w:r w:rsidR="00DF4EAE" w:rsidRPr="000B4AB8">
                <w:rPr>
                  <w:b/>
                  <w:color w:val="8064A2" w:themeColor="accent4"/>
                  <w:sz w:val="24"/>
                  <w:szCs w:val="24"/>
                  <w:u w:val="single"/>
                </w:rPr>
                <w:t>Multiplier Grants</w:t>
              </w:r>
            </w:hyperlink>
          </w:p>
          <w:p w14:paraId="7597C9F0" w14:textId="59F7B524" w:rsidR="00DF4EAE" w:rsidRPr="00FD72C8" w:rsidRDefault="00DF4EAE" w:rsidP="000B4AB8">
            <w:pPr>
              <w:spacing w:before="240" w:after="240"/>
              <w:ind w:left="71"/>
              <w:rPr>
                <w:color w:val="58595B"/>
                <w:sz w:val="24"/>
                <w:szCs w:val="24"/>
              </w:rPr>
            </w:pPr>
            <w:r w:rsidRPr="00FD72C8">
              <w:rPr>
                <w:color w:val="58595B"/>
                <w:sz w:val="24"/>
                <w:szCs w:val="24"/>
              </w:rPr>
              <w:t>The purpose of Multiplier Grant</w:t>
            </w:r>
            <w:r w:rsidR="000B4AB8">
              <w:rPr>
                <w:color w:val="58595B"/>
                <w:sz w:val="24"/>
                <w:szCs w:val="24"/>
              </w:rPr>
              <w:t xml:space="preserve">s </w:t>
            </w:r>
            <w:proofErr w:type="gramStart"/>
            <w:r w:rsidR="000B4AB8">
              <w:rPr>
                <w:color w:val="58595B"/>
                <w:sz w:val="24"/>
                <w:szCs w:val="24"/>
              </w:rPr>
              <w:t>are</w:t>
            </w:r>
            <w:proofErr w:type="gramEnd"/>
            <w:r w:rsidRPr="00FD72C8">
              <w:rPr>
                <w:color w:val="58595B"/>
                <w:sz w:val="24"/>
                <w:szCs w:val="24"/>
              </w:rPr>
              <w:t xml:space="preserve"> to further catalyze system transformation in GPE partner countries’ education system. Countries access a Multiplier allocation by collaborating with partners to mobilize external financing that is “new and additional.” Because the ability to mobilize Multiplier funding is tied to the availability of co-financing, some countries may seek to access a Multiplier allocation before they can develop a full partnership compact. For each $1 from GPE, “other donors” – including bilateral and multilateral donors – still need to meet the ratio of $3 in additional resources per $1 from the Multiplier. Private sector partners and foundations can help unlock a Multiplier grant with a ratio of 1:1, </w:t>
            </w:r>
            <w:proofErr w:type="gramStart"/>
            <w:r w:rsidRPr="00FD72C8">
              <w:rPr>
                <w:color w:val="58595B"/>
                <w:sz w:val="24"/>
                <w:szCs w:val="24"/>
              </w:rPr>
              <w:t>i.e.</w:t>
            </w:r>
            <w:proofErr w:type="gramEnd"/>
            <w:r w:rsidRPr="00FD72C8">
              <w:rPr>
                <w:color w:val="58595B"/>
                <w:sz w:val="24"/>
                <w:szCs w:val="24"/>
              </w:rPr>
              <w:t xml:space="preserve"> $1 in additional contribution. Multiplier funding does not need to come from the same source. </w:t>
            </w:r>
          </w:p>
          <w:p w14:paraId="7CF7A799" w14:textId="77777777" w:rsidR="00DF4EAE" w:rsidRPr="00FD72C8" w:rsidRDefault="00DF4EAE" w:rsidP="000B4AB8">
            <w:pPr>
              <w:spacing w:before="240" w:after="240"/>
              <w:ind w:left="71"/>
              <w:rPr>
                <w:color w:val="58595B"/>
                <w:sz w:val="24"/>
                <w:szCs w:val="24"/>
              </w:rPr>
            </w:pPr>
            <w:r w:rsidRPr="00FD72C8">
              <w:rPr>
                <w:color w:val="58595B"/>
                <w:sz w:val="24"/>
                <w:szCs w:val="24"/>
              </w:rPr>
              <w:t xml:space="preserve">Example: Kyrgyz Republic - </w:t>
            </w:r>
            <w:hyperlink r:id="rId53">
              <w:r w:rsidRPr="00FD72C8">
                <w:rPr>
                  <w:color w:val="58595B"/>
                  <w:sz w:val="24"/>
                  <w:szCs w:val="24"/>
                  <w:u w:val="single"/>
                </w:rPr>
                <w:t>Preparing children for primary school</w:t>
              </w:r>
            </w:hyperlink>
            <w:r w:rsidRPr="00FD72C8">
              <w:rPr>
                <w:color w:val="58595B"/>
                <w:sz w:val="24"/>
                <w:szCs w:val="24"/>
              </w:rPr>
              <w:t>. The Kyrgyz Republic has been a GPE partner since 2006 and has received multiple grants from GPE, including the GPE Multiplier grant, which aims to continue to increase access to preschool education for children from most vulnerable households and to improve their school readiness.</w:t>
            </w:r>
          </w:p>
          <w:p w14:paraId="43E5A406" w14:textId="77777777" w:rsidR="00DF4EAE" w:rsidRPr="000B4AB8" w:rsidRDefault="00000000" w:rsidP="000B4AB8">
            <w:pPr>
              <w:spacing w:before="240" w:after="240"/>
              <w:ind w:left="71"/>
              <w:rPr>
                <w:color w:val="8064A2" w:themeColor="accent4"/>
                <w:sz w:val="24"/>
                <w:szCs w:val="24"/>
              </w:rPr>
            </w:pPr>
            <w:hyperlink r:id="rId54" w:anchor="girls%E2%80%99-education-accelerator">
              <w:r w:rsidR="00DF4EAE" w:rsidRPr="000B4AB8">
                <w:rPr>
                  <w:b/>
                  <w:color w:val="8064A2" w:themeColor="accent4"/>
                  <w:sz w:val="24"/>
                  <w:szCs w:val="24"/>
                  <w:u w:val="single"/>
                </w:rPr>
                <w:t>Girls’ Education Accelerator (GEA)</w:t>
              </w:r>
            </w:hyperlink>
            <w:r w:rsidR="00DF4EAE" w:rsidRPr="000B4AB8">
              <w:rPr>
                <w:color w:val="8064A2" w:themeColor="accent4"/>
                <w:sz w:val="24"/>
                <w:szCs w:val="24"/>
              </w:rPr>
              <w:t xml:space="preserve"> </w:t>
            </w:r>
          </w:p>
          <w:p w14:paraId="5BD2555E" w14:textId="77777777" w:rsidR="00DF4EAE" w:rsidRPr="00FD72C8" w:rsidRDefault="00DF4EAE" w:rsidP="000B4AB8">
            <w:pPr>
              <w:spacing w:before="240" w:after="240"/>
              <w:ind w:left="71"/>
              <w:rPr>
                <w:color w:val="58595B"/>
                <w:sz w:val="24"/>
                <w:szCs w:val="24"/>
              </w:rPr>
            </w:pPr>
            <w:r w:rsidRPr="00FD72C8">
              <w:rPr>
                <w:color w:val="58595B"/>
                <w:sz w:val="24"/>
                <w:szCs w:val="24"/>
              </w:rPr>
              <w:t>The GEA addresses barriers to girls’ education within and beyond the education sector. Specifically, the GEA funding aims to ‘hardwire’ gender equality and girls’ education into the system with the objective of setting in motion target policies and programs while reaching gender equality, addressing inequities within and outside the education sector.  Access to the GEA has been prioritized for 30 eligible countries where girls lag furthest behind in terms of access to primary and lower secondary and where child marriage rate is high. The GEA is not a standalone grant: the GEA can only be accessed at the same time as a country accesses its system transformation grant, a Multiplier allocation, or both.</w:t>
            </w:r>
          </w:p>
          <w:p w14:paraId="72979E68" w14:textId="2F21D329" w:rsidR="00DF4EAE" w:rsidRPr="00FD72C8" w:rsidRDefault="00DF4EAE" w:rsidP="000B4AB8">
            <w:pPr>
              <w:spacing w:before="240" w:after="240"/>
              <w:ind w:left="71"/>
              <w:rPr>
                <w:color w:val="58595B"/>
                <w:sz w:val="24"/>
                <w:szCs w:val="24"/>
              </w:rPr>
            </w:pPr>
            <w:r w:rsidRPr="00FD72C8">
              <w:rPr>
                <w:color w:val="58595B"/>
                <w:sz w:val="24"/>
                <w:szCs w:val="24"/>
              </w:rPr>
              <w:t xml:space="preserve">Example: El Salvador - </w:t>
            </w:r>
            <w:hyperlink r:id="rId55">
              <w:r w:rsidRPr="00FD72C8">
                <w:rPr>
                  <w:color w:val="58595B"/>
                  <w:sz w:val="24"/>
                  <w:szCs w:val="24"/>
                  <w:u w:val="single"/>
                </w:rPr>
                <w:t>El Salvador is the first country to access the GPE Girls’ Education Accelerator</w:t>
              </w:r>
            </w:hyperlink>
            <w:r w:rsidRPr="00FD72C8">
              <w:rPr>
                <w:color w:val="58595B"/>
                <w:sz w:val="24"/>
                <w:szCs w:val="24"/>
              </w:rPr>
              <w:t>. This article discusses how El Salvador became the first GPE partner country to access the GEA. The country will use the grant to tackle gender norms from an early age and support gender-equitable learning assessment from early childhood to secondary school.</w:t>
            </w:r>
          </w:p>
        </w:tc>
      </w:tr>
    </w:tbl>
    <w:p w14:paraId="7933B1E3" w14:textId="1D7F72A5" w:rsidR="00254079" w:rsidRPr="00FD72C8" w:rsidRDefault="00000000">
      <w:pPr>
        <w:spacing w:before="240" w:after="240"/>
        <w:rPr>
          <w:color w:val="58595B"/>
          <w:sz w:val="24"/>
          <w:szCs w:val="24"/>
        </w:rPr>
      </w:pPr>
      <w:r w:rsidRPr="00FD72C8">
        <w:rPr>
          <w:color w:val="58595B"/>
          <w:sz w:val="24"/>
          <w:szCs w:val="24"/>
        </w:rPr>
        <w:lastRenderedPageBreak/>
        <w:t xml:space="preserve">Each of these grants has different eligibility criteria. More information can be found on </w:t>
      </w:r>
      <w:hyperlink r:id="rId56">
        <w:r w:rsidRPr="00FD72C8">
          <w:rPr>
            <w:color w:val="58595B"/>
            <w:sz w:val="24"/>
            <w:szCs w:val="24"/>
            <w:u w:val="single"/>
          </w:rPr>
          <w:t>GPE’s website</w:t>
        </w:r>
      </w:hyperlink>
      <w:r w:rsidRPr="00FD72C8">
        <w:rPr>
          <w:color w:val="58595B"/>
          <w:sz w:val="24"/>
          <w:szCs w:val="24"/>
        </w:rPr>
        <w:t xml:space="preserve">. Additional information can be found at </w:t>
      </w:r>
      <w:hyperlink r:id="rId57">
        <w:r w:rsidRPr="00FD72C8">
          <w:rPr>
            <w:color w:val="58595B"/>
            <w:sz w:val="24"/>
            <w:szCs w:val="24"/>
            <w:u w:val="single"/>
          </w:rPr>
          <w:t xml:space="preserve">GPE: </w:t>
        </w:r>
      </w:hyperlink>
      <w:hyperlink r:id="rId58">
        <w:r w:rsidRPr="00FD72C8">
          <w:rPr>
            <w:color w:val="58595B"/>
            <w:sz w:val="24"/>
            <w:szCs w:val="24"/>
            <w:u w:val="single"/>
          </w:rPr>
          <w:t xml:space="preserve">Applying for grants </w:t>
        </w:r>
      </w:hyperlink>
      <w:r w:rsidRPr="00FD72C8">
        <w:rPr>
          <w:color w:val="58595B"/>
          <w:sz w:val="24"/>
          <w:szCs w:val="24"/>
        </w:rPr>
        <w:t xml:space="preserve">and </w:t>
      </w:r>
      <w:hyperlink r:id="rId59">
        <w:r w:rsidRPr="00FD72C8">
          <w:rPr>
            <w:color w:val="58595B"/>
            <w:sz w:val="24"/>
            <w:szCs w:val="24"/>
            <w:u w:val="single"/>
          </w:rPr>
          <w:t>Learning from the partner countries piloting the GPE 2025 approach</w:t>
        </w:r>
      </w:hyperlink>
      <w:r w:rsidRPr="00FD72C8">
        <w:rPr>
          <w:color w:val="58595B"/>
          <w:sz w:val="24"/>
          <w:szCs w:val="24"/>
        </w:rPr>
        <w:t>.</w:t>
      </w:r>
    </w:p>
    <w:p w14:paraId="403ED7B2" w14:textId="3608B105" w:rsidR="00906C57" w:rsidRPr="00FD72C8" w:rsidRDefault="00906C57">
      <w:pPr>
        <w:rPr>
          <w:color w:val="58595B"/>
          <w:sz w:val="24"/>
          <w:szCs w:val="24"/>
        </w:rPr>
      </w:pPr>
    </w:p>
    <w:p w14:paraId="766B55D3" w14:textId="77777777" w:rsidR="00906C57" w:rsidRDefault="00906C57">
      <w:pPr>
        <w:sectPr w:rsidR="00906C57" w:rsidSect="00975857">
          <w:footerReference w:type="even" r:id="rId60"/>
          <w:footerReference w:type="default" r:id="rId61"/>
          <w:pgSz w:w="12240" w:h="15840"/>
          <w:pgMar w:top="810" w:right="1440" w:bottom="1440" w:left="1440" w:header="720" w:footer="720" w:gutter="0"/>
          <w:pgNumType w:start="1"/>
          <w:cols w:space="720"/>
        </w:sectPr>
      </w:pPr>
    </w:p>
    <w:p w14:paraId="4C7DE017" w14:textId="77777777" w:rsidR="00906C57" w:rsidRPr="00B32DC7" w:rsidRDefault="00906C57" w:rsidP="00906C57">
      <w:pPr>
        <w:rPr>
          <w:b/>
          <w:bCs/>
          <w:color w:val="913592"/>
          <w:sz w:val="28"/>
          <w:szCs w:val="28"/>
          <w:lang w:val="en-US" w:bidi="en-US"/>
        </w:rPr>
      </w:pPr>
      <w:r w:rsidRPr="00B32DC7">
        <w:rPr>
          <w:b/>
          <w:bCs/>
          <w:color w:val="913592"/>
          <w:sz w:val="28"/>
          <w:szCs w:val="28"/>
          <w:lang w:val="en-US" w:bidi="en-US"/>
        </w:rPr>
        <w:lastRenderedPageBreak/>
        <w:t>Tool 5.1 - Annex</w:t>
      </w:r>
    </w:p>
    <w:p w14:paraId="140AA754" w14:textId="77777777" w:rsidR="00906C57" w:rsidRPr="00B32DC7" w:rsidRDefault="00906C57" w:rsidP="00906C57">
      <w:pPr>
        <w:rPr>
          <w:color w:val="58595B"/>
        </w:rPr>
      </w:pPr>
    </w:p>
    <w:p w14:paraId="77C1F43D" w14:textId="77777777" w:rsidR="00906C57" w:rsidRPr="00B32DC7" w:rsidRDefault="00906C57" w:rsidP="00906C57">
      <w:pPr>
        <w:rPr>
          <w:b/>
          <w:bCs/>
          <w:color w:val="58595B"/>
          <w:sz w:val="26"/>
          <w:szCs w:val="26"/>
          <w:lang w:val="en-US" w:bidi="en-US"/>
        </w:rPr>
      </w:pPr>
      <w:r w:rsidRPr="00B32DC7">
        <w:rPr>
          <w:b/>
          <w:bCs/>
          <w:color w:val="58595B"/>
          <w:sz w:val="26"/>
          <w:szCs w:val="26"/>
          <w:lang w:val="en-US" w:bidi="en-US"/>
        </w:rPr>
        <w:t>Examples of innovative sources of financing</w:t>
      </w:r>
    </w:p>
    <w:tbl>
      <w:tblPr>
        <w:tblStyle w:val="PlainTable1"/>
        <w:tblW w:w="12960" w:type="dxa"/>
        <w:tblLayout w:type="fixed"/>
        <w:tblLook w:val="0680" w:firstRow="0" w:lastRow="0" w:firstColumn="1" w:lastColumn="0" w:noHBand="1" w:noVBand="1"/>
      </w:tblPr>
      <w:tblGrid>
        <w:gridCol w:w="2592"/>
        <w:gridCol w:w="2592"/>
        <w:gridCol w:w="2592"/>
        <w:gridCol w:w="2592"/>
        <w:gridCol w:w="2592"/>
      </w:tblGrid>
      <w:tr w:rsidR="00B32DC7" w:rsidRPr="00B32DC7" w14:paraId="3285A74A" w14:textId="77777777" w:rsidTr="00B32DC7">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vAlign w:val="center"/>
          </w:tcPr>
          <w:p w14:paraId="6CFA9BD8" w14:textId="77777777" w:rsidR="00B32DC7" w:rsidRDefault="00B32DC7" w:rsidP="00B32DC7">
            <w:pPr>
              <w:widowControl w:val="0"/>
              <w:pBdr>
                <w:top w:val="nil"/>
                <w:left w:val="nil"/>
                <w:bottom w:val="nil"/>
                <w:right w:val="nil"/>
                <w:between w:val="nil"/>
              </w:pBdr>
              <w:jc w:val="center"/>
              <w:rPr>
                <w:b w:val="0"/>
                <w:bCs w:val="0"/>
                <w:color w:val="58595B"/>
              </w:rPr>
            </w:pPr>
          </w:p>
          <w:p w14:paraId="6F1944A1" w14:textId="70D0C7C2" w:rsidR="00906C57" w:rsidRDefault="00B32DC7" w:rsidP="00B32DC7">
            <w:pPr>
              <w:widowControl w:val="0"/>
              <w:pBdr>
                <w:top w:val="nil"/>
                <w:left w:val="nil"/>
                <w:bottom w:val="nil"/>
                <w:right w:val="nil"/>
                <w:between w:val="nil"/>
              </w:pBdr>
              <w:jc w:val="center"/>
              <w:rPr>
                <w:b w:val="0"/>
                <w:bCs w:val="0"/>
                <w:color w:val="58595B"/>
              </w:rPr>
            </w:pPr>
            <w:r>
              <w:rPr>
                <w:color w:val="58595B"/>
              </w:rPr>
              <w:t>Source</w:t>
            </w:r>
          </w:p>
          <w:p w14:paraId="66C3C73D" w14:textId="3110CFA4" w:rsidR="00B32DC7" w:rsidRPr="00B32DC7" w:rsidRDefault="00B32DC7" w:rsidP="00B32DC7">
            <w:pPr>
              <w:widowControl w:val="0"/>
              <w:pBdr>
                <w:top w:val="nil"/>
                <w:left w:val="nil"/>
                <w:bottom w:val="nil"/>
                <w:right w:val="nil"/>
                <w:between w:val="nil"/>
              </w:pBdr>
              <w:jc w:val="center"/>
              <w:rPr>
                <w:color w:val="58595B"/>
              </w:rPr>
            </w:pPr>
          </w:p>
        </w:tc>
        <w:tc>
          <w:tcPr>
            <w:tcW w:w="2592" w:type="dxa"/>
            <w:vAlign w:val="center"/>
          </w:tcPr>
          <w:p w14:paraId="7FBF4B65" w14:textId="77777777" w:rsidR="00906C57" w:rsidRPr="00B32DC7" w:rsidRDefault="00906C57" w:rsidP="00B32DC7">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58595B"/>
              </w:rPr>
            </w:pPr>
            <w:r w:rsidRPr="00B32DC7">
              <w:rPr>
                <w:b/>
                <w:color w:val="58595B"/>
              </w:rPr>
              <w:t>What it is</w:t>
            </w:r>
          </w:p>
        </w:tc>
        <w:tc>
          <w:tcPr>
            <w:tcW w:w="2592" w:type="dxa"/>
            <w:vAlign w:val="center"/>
          </w:tcPr>
          <w:p w14:paraId="68BC5288" w14:textId="77777777" w:rsidR="00906C57" w:rsidRPr="00B32DC7" w:rsidRDefault="00906C57" w:rsidP="00B32DC7">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58595B"/>
              </w:rPr>
            </w:pPr>
            <w:r w:rsidRPr="00B32DC7">
              <w:rPr>
                <w:b/>
                <w:color w:val="58595B"/>
              </w:rPr>
              <w:t>Potential benefits</w:t>
            </w:r>
          </w:p>
        </w:tc>
        <w:tc>
          <w:tcPr>
            <w:tcW w:w="2592" w:type="dxa"/>
            <w:vAlign w:val="center"/>
          </w:tcPr>
          <w:p w14:paraId="1BB71A87" w14:textId="77777777" w:rsidR="00906C57" w:rsidRPr="00B32DC7" w:rsidRDefault="00906C57" w:rsidP="00B32DC7">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58595B"/>
              </w:rPr>
            </w:pPr>
            <w:r w:rsidRPr="00B32DC7">
              <w:rPr>
                <w:b/>
                <w:color w:val="58595B"/>
              </w:rPr>
              <w:t>Potential drawbacks</w:t>
            </w:r>
          </w:p>
        </w:tc>
        <w:tc>
          <w:tcPr>
            <w:tcW w:w="2592" w:type="dxa"/>
            <w:vAlign w:val="center"/>
          </w:tcPr>
          <w:p w14:paraId="5A816ED4" w14:textId="77777777" w:rsidR="00906C57" w:rsidRPr="00B32DC7" w:rsidRDefault="00906C57" w:rsidP="00B32DC7">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58595B"/>
              </w:rPr>
            </w:pPr>
            <w:r w:rsidRPr="00B32DC7">
              <w:rPr>
                <w:b/>
                <w:color w:val="58595B"/>
              </w:rPr>
              <w:t>Examples/case studies</w:t>
            </w:r>
          </w:p>
        </w:tc>
      </w:tr>
      <w:tr w:rsidR="00B32DC7" w:rsidRPr="00B32DC7" w14:paraId="254FAB29" w14:textId="77777777" w:rsidTr="00B32DC7">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tcPr>
          <w:p w14:paraId="4C6F876A" w14:textId="77777777" w:rsidR="00906C57" w:rsidRPr="00B32DC7" w:rsidRDefault="00906C57" w:rsidP="00B32DC7">
            <w:pPr>
              <w:widowControl w:val="0"/>
              <w:pBdr>
                <w:top w:val="nil"/>
                <w:left w:val="nil"/>
                <w:bottom w:val="nil"/>
                <w:right w:val="nil"/>
                <w:between w:val="nil"/>
              </w:pBdr>
              <w:jc w:val="center"/>
              <w:rPr>
                <w:color w:val="58595B"/>
              </w:rPr>
            </w:pPr>
            <w:r w:rsidRPr="00B32DC7">
              <w:rPr>
                <w:bCs w:val="0"/>
                <w:color w:val="913592"/>
                <w:szCs w:val="32"/>
                <w:lang w:val="en-US" w:bidi="en-US"/>
              </w:rPr>
              <w:t>Concessional lending (or soft loans)</w:t>
            </w:r>
          </w:p>
        </w:tc>
        <w:tc>
          <w:tcPr>
            <w:tcW w:w="2592" w:type="dxa"/>
          </w:tcPr>
          <w:p w14:paraId="6DAADCEC"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Loans that are extended on softer terms than market loans, either through interest rates below those available on the market or by grace periods, or a combination of these. These loans typically offer longer repayment schedules.</w:t>
            </w:r>
          </w:p>
        </w:tc>
        <w:tc>
          <w:tcPr>
            <w:tcW w:w="2592" w:type="dxa"/>
          </w:tcPr>
          <w:p w14:paraId="4EEA4DC2" w14:textId="77777777" w:rsidR="00906C57" w:rsidRPr="00B32DC7" w:rsidRDefault="00906C57" w:rsidP="00906C57">
            <w:pPr>
              <w:widowControl w:val="0"/>
              <w:numPr>
                <w:ilvl w:val="0"/>
                <w:numId w:val="7"/>
              </w:num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Typically offer longer repayment schedules</w:t>
            </w:r>
          </w:p>
        </w:tc>
        <w:tc>
          <w:tcPr>
            <w:tcW w:w="2592" w:type="dxa"/>
          </w:tcPr>
          <w:p w14:paraId="0DB5E76B" w14:textId="77777777" w:rsidR="00906C57" w:rsidRPr="00B32DC7" w:rsidRDefault="00906C57" w:rsidP="00906C57">
            <w:pPr>
              <w:widowControl w:val="0"/>
              <w:numPr>
                <w:ilvl w:val="0"/>
                <w:numId w:val="16"/>
              </w:numPr>
              <w:pBdr>
                <w:top w:val="nil"/>
                <w:left w:val="nil"/>
                <w:bottom w:val="nil"/>
                <w:right w:val="nil"/>
                <w:between w:val="nil"/>
              </w:pBd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Requires </w:t>
            </w:r>
            <w:proofErr w:type="gramStart"/>
            <w:r w:rsidRPr="00B32DC7">
              <w:rPr>
                <w:color w:val="58595B"/>
                <w:sz w:val="20"/>
                <w:szCs w:val="20"/>
              </w:rPr>
              <w:t>repayment</w:t>
            </w:r>
            <w:proofErr w:type="gramEnd"/>
          </w:p>
          <w:p w14:paraId="167BA27B" w14:textId="77777777" w:rsidR="00906C57" w:rsidRPr="00B32DC7" w:rsidRDefault="00906C57" w:rsidP="00906C57">
            <w:pPr>
              <w:widowControl w:val="0"/>
              <w:numPr>
                <w:ilvl w:val="0"/>
                <w:numId w:val="16"/>
              </w:numPr>
              <w:pBdr>
                <w:top w:val="nil"/>
                <w:left w:val="nil"/>
                <w:bottom w:val="nil"/>
                <w:right w:val="nil"/>
                <w:between w:val="nil"/>
              </w:pBd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Developing countries may face debt burdens they cannot </w:t>
            </w:r>
            <w:proofErr w:type="gramStart"/>
            <w:r w:rsidRPr="00B32DC7">
              <w:rPr>
                <w:color w:val="58595B"/>
                <w:sz w:val="20"/>
                <w:szCs w:val="20"/>
              </w:rPr>
              <w:t>service</w:t>
            </w:r>
            <w:proofErr w:type="gramEnd"/>
          </w:p>
          <w:p w14:paraId="2014FB6A" w14:textId="77777777" w:rsidR="00906C57" w:rsidRPr="00B32DC7" w:rsidRDefault="00906C57" w:rsidP="00906C57">
            <w:pPr>
              <w:widowControl w:val="0"/>
              <w:numPr>
                <w:ilvl w:val="0"/>
                <w:numId w:val="16"/>
              </w:numPr>
              <w:pBdr>
                <w:top w:val="nil"/>
                <w:left w:val="nil"/>
                <w:bottom w:val="nil"/>
                <w:right w:val="nil"/>
                <w:between w:val="nil"/>
              </w:pBd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Does not automatically drive funding towards successfully implemented education programmes</w:t>
            </w:r>
          </w:p>
        </w:tc>
        <w:tc>
          <w:tcPr>
            <w:tcW w:w="2592" w:type="dxa"/>
          </w:tcPr>
          <w:p w14:paraId="5FFDC3DC"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The </w:t>
            </w:r>
            <w:hyperlink r:id="rId62">
              <w:r w:rsidRPr="00B32DC7">
                <w:rPr>
                  <w:color w:val="58595B"/>
                  <w:sz w:val="20"/>
                  <w:szCs w:val="20"/>
                  <w:u w:val="single"/>
                </w:rPr>
                <w:t>International Financing Facility for Education (</w:t>
              </w:r>
              <w:proofErr w:type="spellStart"/>
              <w:r w:rsidRPr="00B32DC7">
                <w:rPr>
                  <w:color w:val="58595B"/>
                  <w:sz w:val="20"/>
                  <w:szCs w:val="20"/>
                  <w:u w:val="single"/>
                </w:rPr>
                <w:t>IFFEd</w:t>
              </w:r>
              <w:proofErr w:type="spellEnd"/>
              <w:r w:rsidRPr="00B32DC7">
                <w:rPr>
                  <w:color w:val="58595B"/>
                  <w:sz w:val="20"/>
                  <w:szCs w:val="20"/>
                  <w:u w:val="single"/>
                </w:rPr>
                <w:t>)</w:t>
              </w:r>
            </w:hyperlink>
            <w:r w:rsidRPr="00B32DC7">
              <w:rPr>
                <w:color w:val="58595B"/>
                <w:sz w:val="20"/>
                <w:szCs w:val="20"/>
              </w:rPr>
              <w:t xml:space="preserve"> bridges the gap and creates attractive financing packages for low- and middle-income countries, using guarantees and grants from contributors to generate increased education financing by multilateral development banks and reduce lending terms for borrowers. </w:t>
            </w:r>
          </w:p>
        </w:tc>
      </w:tr>
      <w:tr w:rsidR="00B32DC7" w:rsidRPr="00B32DC7" w14:paraId="75366167" w14:textId="77777777" w:rsidTr="00B32DC7">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tcPr>
          <w:p w14:paraId="7C660E5F" w14:textId="77777777" w:rsidR="00906C57" w:rsidRPr="00B32DC7" w:rsidRDefault="00906C57" w:rsidP="00B32DC7">
            <w:pPr>
              <w:widowControl w:val="0"/>
              <w:pBdr>
                <w:top w:val="nil"/>
                <w:left w:val="nil"/>
                <w:bottom w:val="nil"/>
                <w:right w:val="nil"/>
                <w:between w:val="nil"/>
              </w:pBdr>
              <w:jc w:val="center"/>
              <w:rPr>
                <w:bCs w:val="0"/>
                <w:color w:val="913592"/>
                <w:szCs w:val="32"/>
                <w:lang w:val="en-US" w:bidi="en-US"/>
              </w:rPr>
            </w:pPr>
            <w:r w:rsidRPr="00B32DC7">
              <w:rPr>
                <w:bCs w:val="0"/>
                <w:color w:val="913592"/>
                <w:szCs w:val="32"/>
                <w:lang w:val="en-US" w:bidi="en-US"/>
              </w:rPr>
              <w:t>Corporate social responsibility (CSR)</w:t>
            </w:r>
          </w:p>
        </w:tc>
        <w:tc>
          <w:tcPr>
            <w:tcW w:w="2592" w:type="dxa"/>
          </w:tcPr>
          <w:p w14:paraId="7242417A"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Concept that companies and corporations should give back to the community through funding or implementation of projects</w:t>
            </w:r>
          </w:p>
        </w:tc>
        <w:tc>
          <w:tcPr>
            <w:tcW w:w="2592" w:type="dxa"/>
          </w:tcPr>
          <w:p w14:paraId="72D6E5F8" w14:textId="77777777" w:rsidR="00906C57" w:rsidRPr="00B32DC7" w:rsidRDefault="00906C57" w:rsidP="00906C57">
            <w:pPr>
              <w:widowControl w:val="0"/>
              <w:numPr>
                <w:ilvl w:val="0"/>
                <w:numId w:val="22"/>
              </w:num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No cost to government</w:t>
            </w:r>
          </w:p>
          <w:p w14:paraId="394156A7" w14:textId="77777777" w:rsidR="00906C57" w:rsidRPr="00B32DC7" w:rsidRDefault="00906C57" w:rsidP="00906C57">
            <w:pPr>
              <w:widowControl w:val="0"/>
              <w:numPr>
                <w:ilvl w:val="0"/>
                <w:numId w:val="22"/>
              </w:num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Improves the public images of corporations</w:t>
            </w:r>
          </w:p>
        </w:tc>
        <w:tc>
          <w:tcPr>
            <w:tcW w:w="2592" w:type="dxa"/>
          </w:tcPr>
          <w:p w14:paraId="1AA60C60" w14:textId="77777777" w:rsidR="00906C57" w:rsidRPr="00B32DC7" w:rsidRDefault="00906C57" w:rsidP="00906C57">
            <w:pPr>
              <w:widowControl w:val="0"/>
              <w:numPr>
                <w:ilvl w:val="0"/>
                <w:numId w:val="15"/>
              </w:numPr>
              <w:pBdr>
                <w:top w:val="nil"/>
                <w:left w:val="nil"/>
                <w:bottom w:val="nil"/>
                <w:right w:val="nil"/>
                <w:between w:val="nil"/>
              </w:pBd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Relies on the willingness and generosity of corporations</w:t>
            </w:r>
          </w:p>
        </w:tc>
        <w:tc>
          <w:tcPr>
            <w:tcW w:w="2592" w:type="dxa"/>
          </w:tcPr>
          <w:p w14:paraId="6F359231" w14:textId="77777777" w:rsidR="00906C57" w:rsidRPr="00B32DC7" w:rsidRDefault="00000000"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hyperlink r:id="rId63">
              <w:r w:rsidR="00906C57" w:rsidRPr="00B32DC7">
                <w:rPr>
                  <w:color w:val="58595B"/>
                  <w:sz w:val="20"/>
                  <w:szCs w:val="20"/>
                  <w:u w:val="single"/>
                </w:rPr>
                <w:t>This report</w:t>
              </w:r>
            </w:hyperlink>
            <w:r w:rsidR="00906C57" w:rsidRPr="00B32DC7">
              <w:rPr>
                <w:color w:val="58595B"/>
                <w:sz w:val="20"/>
                <w:szCs w:val="20"/>
              </w:rPr>
              <w:t xml:space="preserve"> highlights several Aga Khan Development Network companies and how they have invested in early childhood development through early childhood initiatives and family-friendly workplace policies. </w:t>
            </w:r>
          </w:p>
        </w:tc>
      </w:tr>
      <w:tr w:rsidR="00B32DC7" w:rsidRPr="00B32DC7" w14:paraId="567F3FD8" w14:textId="77777777" w:rsidTr="00B32DC7">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tcPr>
          <w:p w14:paraId="42439325" w14:textId="77777777" w:rsidR="00906C57" w:rsidRPr="00B32DC7" w:rsidRDefault="00906C57" w:rsidP="00B32DC7">
            <w:pPr>
              <w:widowControl w:val="0"/>
              <w:pBdr>
                <w:top w:val="nil"/>
                <w:left w:val="nil"/>
                <w:bottom w:val="nil"/>
                <w:right w:val="nil"/>
                <w:between w:val="nil"/>
              </w:pBdr>
              <w:jc w:val="center"/>
              <w:rPr>
                <w:bCs w:val="0"/>
                <w:color w:val="913592"/>
                <w:szCs w:val="32"/>
                <w:lang w:val="en-US" w:bidi="en-US"/>
              </w:rPr>
            </w:pPr>
            <w:r w:rsidRPr="00B32DC7">
              <w:rPr>
                <w:bCs w:val="0"/>
                <w:color w:val="913592"/>
                <w:szCs w:val="32"/>
                <w:lang w:val="en-US" w:bidi="en-US"/>
              </w:rPr>
              <w:t>Debt swaps (or debt conversions)</w:t>
            </w:r>
          </w:p>
        </w:tc>
        <w:tc>
          <w:tcPr>
            <w:tcW w:w="2592" w:type="dxa"/>
          </w:tcPr>
          <w:p w14:paraId="3570CD7B"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A type of debt relief: instead of paying back the debt to creditor countries, in a debt swap, the creditor and partner country agree to a debt treatment that reduces the debt service payments of </w:t>
            </w:r>
            <w:r w:rsidRPr="00B32DC7">
              <w:rPr>
                <w:color w:val="58595B"/>
                <w:sz w:val="20"/>
                <w:szCs w:val="20"/>
              </w:rPr>
              <w:lastRenderedPageBreak/>
              <w:t>an existing loan if the partner country commits to invest new and additional resources in its education sector</w:t>
            </w:r>
          </w:p>
        </w:tc>
        <w:tc>
          <w:tcPr>
            <w:tcW w:w="2592" w:type="dxa"/>
          </w:tcPr>
          <w:p w14:paraId="4387B5C2" w14:textId="77777777" w:rsidR="00906C57" w:rsidRPr="00B32DC7" w:rsidRDefault="00906C57" w:rsidP="00906C57">
            <w:pPr>
              <w:widowControl w:val="0"/>
              <w:numPr>
                <w:ilvl w:val="0"/>
                <w:numId w:val="16"/>
              </w:num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lastRenderedPageBreak/>
              <w:t xml:space="preserve">Enables debtor government to channel fiscal resources into social development programs without sacrificing fiscal and macroeconomic </w:t>
            </w:r>
            <w:r w:rsidRPr="00B32DC7">
              <w:rPr>
                <w:color w:val="58595B"/>
                <w:sz w:val="20"/>
                <w:szCs w:val="20"/>
              </w:rPr>
              <w:lastRenderedPageBreak/>
              <w:t>sustainability</w:t>
            </w:r>
          </w:p>
        </w:tc>
        <w:tc>
          <w:tcPr>
            <w:tcW w:w="2592" w:type="dxa"/>
          </w:tcPr>
          <w:p w14:paraId="4854B7A8" w14:textId="77777777" w:rsidR="00906C57" w:rsidRPr="00B32DC7" w:rsidRDefault="00906C57" w:rsidP="00906C57">
            <w:pPr>
              <w:widowControl w:val="0"/>
              <w:numPr>
                <w:ilvl w:val="0"/>
                <w:numId w:val="16"/>
              </w:numP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lastRenderedPageBreak/>
              <w:t xml:space="preserve">Requires eventual </w:t>
            </w:r>
            <w:proofErr w:type="gramStart"/>
            <w:r w:rsidRPr="00B32DC7">
              <w:rPr>
                <w:color w:val="58595B"/>
                <w:sz w:val="20"/>
                <w:szCs w:val="20"/>
              </w:rPr>
              <w:t>repayment</w:t>
            </w:r>
            <w:proofErr w:type="gramEnd"/>
          </w:p>
          <w:p w14:paraId="75167C3F" w14:textId="77777777" w:rsidR="00906C57" w:rsidRPr="00B32DC7" w:rsidRDefault="00906C57" w:rsidP="00906C57">
            <w:pPr>
              <w:widowControl w:val="0"/>
              <w:numPr>
                <w:ilvl w:val="0"/>
                <w:numId w:val="16"/>
              </w:numP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Budgetary gains are realized only slowly, typically over many years or </w:t>
            </w:r>
            <w:proofErr w:type="gramStart"/>
            <w:r w:rsidRPr="00B32DC7">
              <w:rPr>
                <w:color w:val="58595B"/>
                <w:sz w:val="20"/>
                <w:szCs w:val="20"/>
              </w:rPr>
              <w:t>decades</w:t>
            </w:r>
            <w:proofErr w:type="gramEnd"/>
          </w:p>
          <w:p w14:paraId="7AA98361" w14:textId="77777777" w:rsidR="00906C57" w:rsidRPr="00B32DC7" w:rsidRDefault="00906C57" w:rsidP="00906C57">
            <w:pPr>
              <w:widowControl w:val="0"/>
              <w:numPr>
                <w:ilvl w:val="0"/>
                <w:numId w:val="16"/>
              </w:numP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Even if debts are converted into funds, </w:t>
            </w:r>
            <w:r w:rsidRPr="00B32DC7">
              <w:rPr>
                <w:color w:val="58595B"/>
                <w:sz w:val="20"/>
                <w:szCs w:val="20"/>
              </w:rPr>
              <w:lastRenderedPageBreak/>
              <w:t xml:space="preserve">debtor governments will not necessarily use these resources for </w:t>
            </w:r>
            <w:proofErr w:type="gramStart"/>
            <w:r w:rsidRPr="00B32DC7">
              <w:rPr>
                <w:color w:val="58595B"/>
                <w:sz w:val="20"/>
                <w:szCs w:val="20"/>
              </w:rPr>
              <w:t>education</w:t>
            </w:r>
            <w:proofErr w:type="gramEnd"/>
          </w:p>
          <w:p w14:paraId="5422223D" w14:textId="77777777" w:rsidR="00906C57" w:rsidRPr="00B32DC7" w:rsidRDefault="00906C57" w:rsidP="003F4C69">
            <w:pPr>
              <w:widowControl w:val="0"/>
              <w:ind w:left="720"/>
              <w:cnfStyle w:val="000000000000" w:firstRow="0" w:lastRow="0" w:firstColumn="0" w:lastColumn="0" w:oddVBand="0" w:evenVBand="0" w:oddHBand="0" w:evenHBand="0" w:firstRowFirstColumn="0" w:firstRowLastColumn="0" w:lastRowFirstColumn="0" w:lastRowLastColumn="0"/>
              <w:rPr>
                <w:color w:val="58595B"/>
                <w:sz w:val="20"/>
                <w:szCs w:val="20"/>
              </w:rPr>
            </w:pPr>
          </w:p>
        </w:tc>
        <w:tc>
          <w:tcPr>
            <w:tcW w:w="2592" w:type="dxa"/>
          </w:tcPr>
          <w:p w14:paraId="3C885DB2" w14:textId="77777777" w:rsidR="00906C57" w:rsidRPr="00B32DC7" w:rsidRDefault="00000000"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hyperlink r:id="rId64">
              <w:r w:rsidR="00906C57" w:rsidRPr="00B32DC7">
                <w:rPr>
                  <w:color w:val="58595B"/>
                  <w:sz w:val="20"/>
                  <w:szCs w:val="20"/>
                  <w:u w:val="single"/>
                </w:rPr>
                <w:t>Debt2Ed</w:t>
              </w:r>
            </w:hyperlink>
            <w:r w:rsidR="00906C57" w:rsidRPr="00B32DC7">
              <w:rPr>
                <w:color w:val="58595B"/>
                <w:sz w:val="20"/>
                <w:szCs w:val="20"/>
              </w:rPr>
              <w:t xml:space="preserve"> is an innovative finance tool that transforms a partner country’s debt into new and additional resources for education to enable system transformation and mobilize further grant </w:t>
            </w:r>
            <w:r w:rsidR="00906C57" w:rsidRPr="00B32DC7">
              <w:rPr>
                <w:color w:val="58595B"/>
                <w:sz w:val="20"/>
                <w:szCs w:val="20"/>
              </w:rPr>
              <w:lastRenderedPageBreak/>
              <w:t xml:space="preserve">funding from the GPE Multiplier. </w:t>
            </w:r>
          </w:p>
        </w:tc>
      </w:tr>
      <w:tr w:rsidR="00B32DC7" w:rsidRPr="00B32DC7" w14:paraId="2CEEBB90" w14:textId="77777777" w:rsidTr="00B32DC7">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tcPr>
          <w:p w14:paraId="6AC11490" w14:textId="77777777" w:rsidR="00906C57" w:rsidRPr="00B32DC7" w:rsidRDefault="00906C57" w:rsidP="00B32DC7">
            <w:pPr>
              <w:widowControl w:val="0"/>
              <w:pBdr>
                <w:top w:val="nil"/>
                <w:left w:val="nil"/>
                <w:bottom w:val="nil"/>
                <w:right w:val="nil"/>
                <w:between w:val="nil"/>
              </w:pBdr>
              <w:jc w:val="center"/>
              <w:rPr>
                <w:bCs w:val="0"/>
                <w:color w:val="913592"/>
                <w:szCs w:val="32"/>
                <w:lang w:val="en-US" w:bidi="en-US"/>
              </w:rPr>
            </w:pPr>
            <w:r w:rsidRPr="00B32DC7">
              <w:rPr>
                <w:bCs w:val="0"/>
                <w:color w:val="913592"/>
                <w:szCs w:val="32"/>
                <w:lang w:val="en-US" w:bidi="en-US"/>
              </w:rPr>
              <w:lastRenderedPageBreak/>
              <w:t>Earmarked taxes</w:t>
            </w:r>
          </w:p>
        </w:tc>
        <w:tc>
          <w:tcPr>
            <w:tcW w:w="2592" w:type="dxa"/>
          </w:tcPr>
          <w:p w14:paraId="0C3EC304"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A tax is implemented and allotted to public services, </w:t>
            </w:r>
            <w:proofErr w:type="gramStart"/>
            <w:r w:rsidRPr="00B32DC7">
              <w:rPr>
                <w:color w:val="58595B"/>
                <w:sz w:val="20"/>
                <w:szCs w:val="20"/>
              </w:rPr>
              <w:t>e.g.</w:t>
            </w:r>
            <w:proofErr w:type="gramEnd"/>
            <w:r w:rsidRPr="00B32DC7">
              <w:rPr>
                <w:color w:val="58595B"/>
                <w:sz w:val="20"/>
                <w:szCs w:val="20"/>
              </w:rPr>
              <w:t xml:space="preserve"> sin taxes on goods or payroll taxes on corporations</w:t>
            </w:r>
          </w:p>
        </w:tc>
        <w:tc>
          <w:tcPr>
            <w:tcW w:w="2592" w:type="dxa"/>
          </w:tcPr>
          <w:p w14:paraId="5ECC16BD" w14:textId="77777777" w:rsidR="00906C57" w:rsidRPr="00B32DC7" w:rsidRDefault="00906C57" w:rsidP="00906C57">
            <w:pPr>
              <w:widowControl w:val="0"/>
              <w:numPr>
                <w:ilvl w:val="0"/>
                <w:numId w:val="21"/>
              </w:num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Cost-effective measure as implementing additional taxes does not incur additional costs for the government</w:t>
            </w:r>
          </w:p>
        </w:tc>
        <w:tc>
          <w:tcPr>
            <w:tcW w:w="2592" w:type="dxa"/>
          </w:tcPr>
          <w:p w14:paraId="569149E5" w14:textId="77777777" w:rsidR="00906C57" w:rsidRPr="00B32DC7" w:rsidRDefault="00906C57" w:rsidP="00906C57">
            <w:pPr>
              <w:widowControl w:val="0"/>
              <w:numPr>
                <w:ilvl w:val="0"/>
                <w:numId w:val="19"/>
              </w:numPr>
              <w:pBdr>
                <w:top w:val="nil"/>
                <w:left w:val="nil"/>
                <w:bottom w:val="nil"/>
                <w:right w:val="nil"/>
                <w:between w:val="nil"/>
              </w:pBd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Unreliable and uncertain source of funding as consumption patterns or labor market patterns fluctuate often</w:t>
            </w:r>
          </w:p>
        </w:tc>
        <w:tc>
          <w:tcPr>
            <w:tcW w:w="2592" w:type="dxa"/>
          </w:tcPr>
          <w:p w14:paraId="1ECCABFD"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Colombia has used an </w:t>
            </w:r>
            <w:hyperlink r:id="rId65">
              <w:r w:rsidRPr="00B32DC7">
                <w:rPr>
                  <w:color w:val="58595B"/>
                  <w:sz w:val="20"/>
                  <w:szCs w:val="20"/>
                  <w:u w:val="single"/>
                </w:rPr>
                <w:t>ECD payroll tax</w:t>
              </w:r>
            </w:hyperlink>
            <w:r w:rsidRPr="00B32DC7">
              <w:rPr>
                <w:color w:val="58595B"/>
                <w:sz w:val="20"/>
                <w:szCs w:val="20"/>
              </w:rPr>
              <w:t xml:space="preserve"> for increasing private and public support for vulnerable children and families</w:t>
            </w:r>
          </w:p>
        </w:tc>
      </w:tr>
      <w:tr w:rsidR="00B32DC7" w:rsidRPr="00B32DC7" w14:paraId="087BC060" w14:textId="77777777" w:rsidTr="00B32DC7">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tcPr>
          <w:p w14:paraId="5D9E550F" w14:textId="77777777" w:rsidR="00906C57" w:rsidRPr="00B32DC7" w:rsidRDefault="00906C57" w:rsidP="00B32DC7">
            <w:pPr>
              <w:widowControl w:val="0"/>
              <w:pBdr>
                <w:top w:val="nil"/>
                <w:left w:val="nil"/>
                <w:bottom w:val="nil"/>
                <w:right w:val="nil"/>
                <w:between w:val="nil"/>
              </w:pBdr>
              <w:jc w:val="center"/>
              <w:rPr>
                <w:bCs w:val="0"/>
                <w:color w:val="913592"/>
                <w:szCs w:val="32"/>
                <w:lang w:val="en-US" w:bidi="en-US"/>
              </w:rPr>
            </w:pPr>
            <w:r w:rsidRPr="00B32DC7">
              <w:rPr>
                <w:bCs w:val="0"/>
                <w:color w:val="913592"/>
                <w:szCs w:val="32"/>
                <w:lang w:val="en-US" w:bidi="en-US"/>
              </w:rPr>
              <w:t>Impact investment for education</w:t>
            </w:r>
          </w:p>
        </w:tc>
        <w:tc>
          <w:tcPr>
            <w:tcW w:w="2592" w:type="dxa"/>
          </w:tcPr>
          <w:p w14:paraId="1E3200CF" w14:textId="77777777" w:rsidR="00906C57" w:rsidRPr="00B32DC7" w:rsidRDefault="00906C57"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An investment approach that uses the incentives and tools of commercial capital deployment to actively improve social and environmental well-being</w:t>
            </w:r>
          </w:p>
        </w:tc>
        <w:tc>
          <w:tcPr>
            <w:tcW w:w="2592" w:type="dxa"/>
          </w:tcPr>
          <w:p w14:paraId="7F55CF4D" w14:textId="77777777" w:rsidR="00906C57" w:rsidRPr="00B32DC7" w:rsidRDefault="00906C57" w:rsidP="00906C57">
            <w:pPr>
              <w:widowControl w:val="0"/>
              <w:numPr>
                <w:ilvl w:val="0"/>
                <w:numId w:val="16"/>
              </w:num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The </w:t>
            </w:r>
            <w:proofErr w:type="gramStart"/>
            <w:r w:rsidRPr="00B32DC7">
              <w:rPr>
                <w:color w:val="58595B"/>
                <w:sz w:val="20"/>
                <w:szCs w:val="20"/>
              </w:rPr>
              <w:t>ultimate goal</w:t>
            </w:r>
            <w:proofErr w:type="gramEnd"/>
            <w:r w:rsidRPr="00B32DC7">
              <w:rPr>
                <w:color w:val="58595B"/>
                <w:sz w:val="20"/>
                <w:szCs w:val="20"/>
              </w:rPr>
              <w:t xml:space="preserve"> of sustainability for many impact investors is demonstrated through community buy-in and government responsibility, not through financial profit as is the case with commercial investing </w:t>
            </w:r>
          </w:p>
        </w:tc>
        <w:tc>
          <w:tcPr>
            <w:tcW w:w="2592" w:type="dxa"/>
          </w:tcPr>
          <w:p w14:paraId="19FEAF77" w14:textId="77777777" w:rsidR="00906C57" w:rsidRPr="00B32DC7" w:rsidRDefault="00906C57" w:rsidP="00906C57">
            <w:pPr>
              <w:widowControl w:val="0"/>
              <w:numPr>
                <w:ilvl w:val="0"/>
                <w:numId w:val="16"/>
              </w:numPr>
              <w:ind w:left="450"/>
              <w:cnfStyle w:val="000000000000" w:firstRow="0" w:lastRow="0" w:firstColumn="0" w:lastColumn="0" w:oddVBand="0" w:evenVBand="0" w:oddHBand="0" w:evenHBand="0" w:firstRowFirstColumn="0" w:firstRowLastColumn="0" w:lastRowFirstColumn="0" w:lastRowLastColumn="0"/>
              <w:rPr>
                <w:color w:val="58595B"/>
                <w:sz w:val="20"/>
                <w:szCs w:val="20"/>
              </w:rPr>
            </w:pPr>
            <w:r w:rsidRPr="00B32DC7">
              <w:rPr>
                <w:color w:val="58595B"/>
                <w:sz w:val="20"/>
                <w:szCs w:val="20"/>
              </w:rPr>
              <w:t xml:space="preserve">Requires </w:t>
            </w:r>
            <w:proofErr w:type="gramStart"/>
            <w:r w:rsidRPr="00B32DC7">
              <w:rPr>
                <w:color w:val="58595B"/>
                <w:sz w:val="20"/>
                <w:szCs w:val="20"/>
              </w:rPr>
              <w:t>repayment</w:t>
            </w:r>
            <w:proofErr w:type="gramEnd"/>
          </w:p>
          <w:p w14:paraId="5A9E30AF" w14:textId="77777777" w:rsidR="00906C57" w:rsidRPr="00B32DC7" w:rsidRDefault="00906C57" w:rsidP="003F4C69">
            <w:pPr>
              <w:widowControl w:val="0"/>
              <w:ind w:left="720"/>
              <w:cnfStyle w:val="000000000000" w:firstRow="0" w:lastRow="0" w:firstColumn="0" w:lastColumn="0" w:oddVBand="0" w:evenVBand="0" w:oddHBand="0" w:evenHBand="0" w:firstRowFirstColumn="0" w:firstRowLastColumn="0" w:lastRowFirstColumn="0" w:lastRowLastColumn="0"/>
              <w:rPr>
                <w:color w:val="58595B"/>
                <w:sz w:val="20"/>
                <w:szCs w:val="20"/>
              </w:rPr>
            </w:pPr>
          </w:p>
        </w:tc>
        <w:tc>
          <w:tcPr>
            <w:tcW w:w="2592" w:type="dxa"/>
          </w:tcPr>
          <w:p w14:paraId="01BE9C38" w14:textId="77777777" w:rsidR="00906C57" w:rsidRPr="00B32DC7" w:rsidRDefault="00000000" w:rsidP="003F4C69">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58595B"/>
                <w:sz w:val="20"/>
                <w:szCs w:val="20"/>
              </w:rPr>
            </w:pPr>
            <w:hyperlink r:id="rId66">
              <w:proofErr w:type="spellStart"/>
              <w:r w:rsidR="00906C57" w:rsidRPr="00B32DC7">
                <w:rPr>
                  <w:color w:val="58595B"/>
                  <w:sz w:val="20"/>
                  <w:szCs w:val="20"/>
                  <w:u w:val="single"/>
                </w:rPr>
                <w:t>Naandi</w:t>
              </w:r>
              <w:proofErr w:type="spellEnd"/>
            </w:hyperlink>
            <w:r w:rsidR="00906C57" w:rsidRPr="00B32DC7">
              <w:rPr>
                <w:color w:val="58595B"/>
                <w:sz w:val="20"/>
                <w:szCs w:val="20"/>
              </w:rPr>
              <w:t xml:space="preserve"> is an impact investor in India that offers a variety of free services through its education centers, including ECE/ECD. It works closely with the government and at the grassroots level to make public education more responsive. After four years, </w:t>
            </w:r>
            <w:proofErr w:type="spellStart"/>
            <w:r w:rsidR="00906C57" w:rsidRPr="00B32DC7">
              <w:rPr>
                <w:color w:val="58595B"/>
                <w:sz w:val="20"/>
                <w:szCs w:val="20"/>
              </w:rPr>
              <w:t>Naandi</w:t>
            </w:r>
            <w:proofErr w:type="spellEnd"/>
            <w:r w:rsidR="00906C57" w:rsidRPr="00B32DC7">
              <w:rPr>
                <w:color w:val="58595B"/>
                <w:sz w:val="20"/>
                <w:szCs w:val="20"/>
              </w:rPr>
              <w:t xml:space="preserve"> begins phasing out of its programs and by the seventh year, the community has taken full charge of the program. For more information, see </w:t>
            </w:r>
            <w:hyperlink r:id="rId67">
              <w:r w:rsidR="00906C57" w:rsidRPr="00B32DC7">
                <w:rPr>
                  <w:color w:val="58595B"/>
                  <w:sz w:val="20"/>
                  <w:szCs w:val="20"/>
                  <w:u w:val="single"/>
                </w:rPr>
                <w:t>pp. 27-28 in Impact investing in education: An overview of the current landscape</w:t>
              </w:r>
            </w:hyperlink>
          </w:p>
        </w:tc>
      </w:tr>
    </w:tbl>
    <w:p w14:paraId="0E8FE6EA" w14:textId="77777777" w:rsidR="00906C57" w:rsidRPr="00B32DC7" w:rsidRDefault="00906C57" w:rsidP="00906C57">
      <w:pPr>
        <w:rPr>
          <w:color w:val="58595B"/>
        </w:rPr>
      </w:pPr>
    </w:p>
    <w:p w14:paraId="419A66C8" w14:textId="77777777" w:rsidR="00906C57" w:rsidRDefault="00906C57" w:rsidP="00906C57">
      <w:pPr>
        <w:rPr>
          <w:color w:val="58595B"/>
        </w:rPr>
      </w:pPr>
    </w:p>
    <w:p w14:paraId="5D46B381" w14:textId="77777777" w:rsidR="00B32DC7" w:rsidRDefault="00B32DC7" w:rsidP="00906C57">
      <w:pPr>
        <w:rPr>
          <w:color w:val="58595B"/>
        </w:rPr>
      </w:pPr>
    </w:p>
    <w:p w14:paraId="3CC858DA" w14:textId="77777777" w:rsidR="00B32DC7" w:rsidRDefault="00B32DC7" w:rsidP="00906C57">
      <w:pPr>
        <w:rPr>
          <w:color w:val="58595B"/>
        </w:rPr>
      </w:pPr>
    </w:p>
    <w:p w14:paraId="0375B828" w14:textId="77777777" w:rsidR="00B32DC7" w:rsidRDefault="00B32DC7" w:rsidP="00906C57">
      <w:pPr>
        <w:rPr>
          <w:color w:val="58595B"/>
        </w:rPr>
      </w:pPr>
    </w:p>
    <w:p w14:paraId="1FF0BBBF" w14:textId="77777777" w:rsidR="00B32DC7" w:rsidRPr="00B32DC7" w:rsidRDefault="00B32DC7" w:rsidP="00906C57">
      <w:pPr>
        <w:rPr>
          <w:color w:val="58595B"/>
        </w:rPr>
      </w:pPr>
    </w:p>
    <w:p w14:paraId="5B65D1B2" w14:textId="77777777" w:rsidR="00906C57" w:rsidRPr="00B32DC7" w:rsidRDefault="00906C57" w:rsidP="00906C57">
      <w:pPr>
        <w:rPr>
          <w:b/>
          <w:bCs/>
          <w:color w:val="58595B"/>
          <w:sz w:val="26"/>
          <w:szCs w:val="26"/>
          <w:lang w:val="en-US" w:bidi="en-US"/>
        </w:rPr>
      </w:pPr>
      <w:r w:rsidRPr="00B32DC7">
        <w:rPr>
          <w:b/>
          <w:bCs/>
          <w:color w:val="58595B"/>
          <w:sz w:val="26"/>
          <w:szCs w:val="26"/>
          <w:lang w:val="en-US" w:bidi="en-US"/>
        </w:rPr>
        <w:lastRenderedPageBreak/>
        <w:t xml:space="preserve">Examples of innovative mechanisms of financing </w:t>
      </w:r>
    </w:p>
    <w:tbl>
      <w:tblPr>
        <w:tblStyle w:val="PlainTable1"/>
        <w:tblW w:w="12960" w:type="dxa"/>
        <w:tblLayout w:type="fixed"/>
        <w:tblLook w:val="0600" w:firstRow="0" w:lastRow="0" w:firstColumn="0" w:lastColumn="0" w:noHBand="1" w:noVBand="1"/>
      </w:tblPr>
      <w:tblGrid>
        <w:gridCol w:w="2592"/>
        <w:gridCol w:w="2592"/>
        <w:gridCol w:w="2592"/>
        <w:gridCol w:w="2592"/>
        <w:gridCol w:w="2592"/>
      </w:tblGrid>
      <w:tr w:rsidR="00B32DC7" w:rsidRPr="00B32DC7" w14:paraId="1FBF14E5" w14:textId="77777777" w:rsidTr="00B32DC7">
        <w:tc>
          <w:tcPr>
            <w:tcW w:w="2592" w:type="dxa"/>
            <w:shd w:val="clear" w:color="auto" w:fill="F2F2F2" w:themeFill="background1" w:themeFillShade="F2"/>
          </w:tcPr>
          <w:p w14:paraId="2FFDF9A3" w14:textId="77777777" w:rsidR="00B32DC7" w:rsidRDefault="00B32DC7" w:rsidP="00B32DC7">
            <w:pPr>
              <w:widowControl w:val="0"/>
              <w:pBdr>
                <w:top w:val="nil"/>
                <w:left w:val="nil"/>
                <w:bottom w:val="nil"/>
                <w:right w:val="nil"/>
                <w:between w:val="nil"/>
              </w:pBdr>
              <w:jc w:val="center"/>
              <w:rPr>
                <w:b/>
                <w:color w:val="58595B"/>
              </w:rPr>
            </w:pPr>
          </w:p>
          <w:p w14:paraId="7378B840" w14:textId="77777777" w:rsidR="00906C57" w:rsidRDefault="00B32DC7" w:rsidP="00B32DC7">
            <w:pPr>
              <w:widowControl w:val="0"/>
              <w:pBdr>
                <w:top w:val="nil"/>
                <w:left w:val="nil"/>
                <w:bottom w:val="nil"/>
                <w:right w:val="nil"/>
                <w:between w:val="nil"/>
              </w:pBdr>
              <w:jc w:val="center"/>
              <w:rPr>
                <w:b/>
                <w:color w:val="58595B"/>
              </w:rPr>
            </w:pPr>
            <w:r>
              <w:rPr>
                <w:b/>
                <w:color w:val="58595B"/>
              </w:rPr>
              <w:t>Mechanism</w:t>
            </w:r>
          </w:p>
          <w:p w14:paraId="6C2A8350" w14:textId="2EEF5E36" w:rsidR="00B32DC7" w:rsidRPr="00B32DC7" w:rsidRDefault="00B32DC7" w:rsidP="00B32DC7">
            <w:pPr>
              <w:widowControl w:val="0"/>
              <w:pBdr>
                <w:top w:val="nil"/>
                <w:left w:val="nil"/>
                <w:bottom w:val="nil"/>
                <w:right w:val="nil"/>
                <w:between w:val="nil"/>
              </w:pBdr>
              <w:jc w:val="center"/>
              <w:rPr>
                <w:b/>
                <w:color w:val="58595B"/>
              </w:rPr>
            </w:pPr>
          </w:p>
        </w:tc>
        <w:tc>
          <w:tcPr>
            <w:tcW w:w="2592" w:type="dxa"/>
          </w:tcPr>
          <w:p w14:paraId="6F20C4F0" w14:textId="77777777" w:rsidR="00B32DC7" w:rsidRDefault="00B32DC7" w:rsidP="00B32DC7">
            <w:pPr>
              <w:widowControl w:val="0"/>
              <w:pBdr>
                <w:top w:val="nil"/>
                <w:left w:val="nil"/>
                <w:bottom w:val="nil"/>
                <w:right w:val="nil"/>
                <w:between w:val="nil"/>
              </w:pBdr>
              <w:jc w:val="center"/>
              <w:rPr>
                <w:b/>
                <w:color w:val="58595B"/>
              </w:rPr>
            </w:pPr>
          </w:p>
          <w:p w14:paraId="35FC7240" w14:textId="715F4681" w:rsidR="00906C57" w:rsidRPr="00B32DC7" w:rsidRDefault="00906C57" w:rsidP="00B32DC7">
            <w:pPr>
              <w:widowControl w:val="0"/>
              <w:pBdr>
                <w:top w:val="nil"/>
                <w:left w:val="nil"/>
                <w:bottom w:val="nil"/>
                <w:right w:val="nil"/>
                <w:between w:val="nil"/>
              </w:pBdr>
              <w:jc w:val="center"/>
              <w:rPr>
                <w:b/>
                <w:color w:val="58595B"/>
              </w:rPr>
            </w:pPr>
            <w:r w:rsidRPr="00B32DC7">
              <w:rPr>
                <w:b/>
                <w:color w:val="58595B"/>
              </w:rPr>
              <w:t>What it is</w:t>
            </w:r>
          </w:p>
        </w:tc>
        <w:tc>
          <w:tcPr>
            <w:tcW w:w="2592" w:type="dxa"/>
          </w:tcPr>
          <w:p w14:paraId="6A209990" w14:textId="77777777" w:rsidR="00B32DC7" w:rsidRDefault="00B32DC7" w:rsidP="00B32DC7">
            <w:pPr>
              <w:widowControl w:val="0"/>
              <w:pBdr>
                <w:top w:val="nil"/>
                <w:left w:val="nil"/>
                <w:bottom w:val="nil"/>
                <w:right w:val="nil"/>
                <w:between w:val="nil"/>
              </w:pBdr>
              <w:jc w:val="center"/>
              <w:rPr>
                <w:b/>
                <w:color w:val="58595B"/>
              </w:rPr>
            </w:pPr>
          </w:p>
          <w:p w14:paraId="30B7C12A" w14:textId="5730119D" w:rsidR="00906C57" w:rsidRPr="00B32DC7" w:rsidRDefault="00906C57" w:rsidP="00B32DC7">
            <w:pPr>
              <w:widowControl w:val="0"/>
              <w:pBdr>
                <w:top w:val="nil"/>
                <w:left w:val="nil"/>
                <w:bottom w:val="nil"/>
                <w:right w:val="nil"/>
                <w:between w:val="nil"/>
              </w:pBdr>
              <w:jc w:val="center"/>
              <w:rPr>
                <w:b/>
                <w:color w:val="58595B"/>
              </w:rPr>
            </w:pPr>
            <w:r w:rsidRPr="00B32DC7">
              <w:rPr>
                <w:b/>
                <w:color w:val="58595B"/>
              </w:rPr>
              <w:t>Potential benefits</w:t>
            </w:r>
          </w:p>
        </w:tc>
        <w:tc>
          <w:tcPr>
            <w:tcW w:w="2592" w:type="dxa"/>
          </w:tcPr>
          <w:p w14:paraId="1F2AD8B2" w14:textId="77777777" w:rsidR="00B32DC7" w:rsidRDefault="00B32DC7" w:rsidP="00B32DC7">
            <w:pPr>
              <w:widowControl w:val="0"/>
              <w:pBdr>
                <w:top w:val="nil"/>
                <w:left w:val="nil"/>
                <w:bottom w:val="nil"/>
                <w:right w:val="nil"/>
                <w:between w:val="nil"/>
              </w:pBdr>
              <w:jc w:val="center"/>
              <w:rPr>
                <w:b/>
                <w:color w:val="58595B"/>
              </w:rPr>
            </w:pPr>
          </w:p>
          <w:p w14:paraId="147A3FC7" w14:textId="7FB007DE" w:rsidR="00906C57" w:rsidRPr="00B32DC7" w:rsidRDefault="00906C57" w:rsidP="00B32DC7">
            <w:pPr>
              <w:widowControl w:val="0"/>
              <w:pBdr>
                <w:top w:val="nil"/>
                <w:left w:val="nil"/>
                <w:bottom w:val="nil"/>
                <w:right w:val="nil"/>
                <w:between w:val="nil"/>
              </w:pBdr>
              <w:jc w:val="center"/>
              <w:rPr>
                <w:b/>
                <w:color w:val="58595B"/>
              </w:rPr>
            </w:pPr>
            <w:r w:rsidRPr="00B32DC7">
              <w:rPr>
                <w:b/>
                <w:color w:val="58595B"/>
              </w:rPr>
              <w:t>Potential drawbacks</w:t>
            </w:r>
          </w:p>
        </w:tc>
        <w:tc>
          <w:tcPr>
            <w:tcW w:w="2592" w:type="dxa"/>
          </w:tcPr>
          <w:p w14:paraId="14036003" w14:textId="77777777" w:rsidR="00B32DC7" w:rsidRDefault="00B32DC7" w:rsidP="00B32DC7">
            <w:pPr>
              <w:widowControl w:val="0"/>
              <w:pBdr>
                <w:top w:val="nil"/>
                <w:left w:val="nil"/>
                <w:bottom w:val="nil"/>
                <w:right w:val="nil"/>
                <w:between w:val="nil"/>
              </w:pBdr>
              <w:jc w:val="center"/>
              <w:rPr>
                <w:b/>
                <w:color w:val="58595B"/>
              </w:rPr>
            </w:pPr>
          </w:p>
          <w:p w14:paraId="30ED6EC4" w14:textId="49C7E0AE" w:rsidR="00906C57" w:rsidRPr="00B32DC7" w:rsidRDefault="00906C57" w:rsidP="00B32DC7">
            <w:pPr>
              <w:widowControl w:val="0"/>
              <w:pBdr>
                <w:top w:val="nil"/>
                <w:left w:val="nil"/>
                <w:bottom w:val="nil"/>
                <w:right w:val="nil"/>
                <w:between w:val="nil"/>
              </w:pBdr>
              <w:jc w:val="center"/>
              <w:rPr>
                <w:b/>
                <w:color w:val="58595B"/>
              </w:rPr>
            </w:pPr>
            <w:r w:rsidRPr="00B32DC7">
              <w:rPr>
                <w:b/>
                <w:color w:val="58595B"/>
              </w:rPr>
              <w:t>Example case(s)</w:t>
            </w:r>
          </w:p>
        </w:tc>
      </w:tr>
      <w:tr w:rsidR="00B32DC7" w:rsidRPr="00B32DC7" w14:paraId="60E09F2B" w14:textId="77777777" w:rsidTr="00B32DC7">
        <w:tc>
          <w:tcPr>
            <w:tcW w:w="2592" w:type="dxa"/>
            <w:shd w:val="clear" w:color="auto" w:fill="F2F2F2" w:themeFill="background1" w:themeFillShade="F2"/>
          </w:tcPr>
          <w:p w14:paraId="009157CF"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Block grants</w:t>
            </w:r>
          </w:p>
        </w:tc>
        <w:tc>
          <w:tcPr>
            <w:tcW w:w="2592" w:type="dxa"/>
          </w:tcPr>
          <w:p w14:paraId="62E23FAB"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Allocation of funding by the government (national or local) to schools based on student enrolment</w:t>
            </w:r>
          </w:p>
        </w:tc>
        <w:tc>
          <w:tcPr>
            <w:tcW w:w="2592" w:type="dxa"/>
          </w:tcPr>
          <w:p w14:paraId="1CB1680E" w14:textId="77777777" w:rsidR="00906C57" w:rsidRPr="00B32DC7" w:rsidRDefault="00906C57" w:rsidP="00906C57">
            <w:pPr>
              <w:widowControl w:val="0"/>
              <w:numPr>
                <w:ilvl w:val="0"/>
                <w:numId w:val="30"/>
              </w:numPr>
              <w:pBdr>
                <w:top w:val="nil"/>
                <w:left w:val="nil"/>
                <w:bottom w:val="nil"/>
                <w:right w:val="nil"/>
                <w:between w:val="nil"/>
              </w:pBdr>
              <w:ind w:left="360"/>
              <w:rPr>
                <w:color w:val="58595B"/>
                <w:sz w:val="20"/>
                <w:szCs w:val="20"/>
              </w:rPr>
            </w:pPr>
            <w:r w:rsidRPr="00B32DC7">
              <w:rPr>
                <w:color w:val="58595B"/>
                <w:sz w:val="20"/>
                <w:szCs w:val="20"/>
              </w:rPr>
              <w:t>Consolidates categorical funding and promotes flexibility in planning and decision-making at the school level</w:t>
            </w:r>
          </w:p>
        </w:tc>
        <w:tc>
          <w:tcPr>
            <w:tcW w:w="2592" w:type="dxa"/>
          </w:tcPr>
          <w:p w14:paraId="5CF1935D" w14:textId="77777777" w:rsidR="00906C57" w:rsidRPr="00B32DC7" w:rsidRDefault="00906C57" w:rsidP="00906C57">
            <w:pPr>
              <w:widowControl w:val="0"/>
              <w:numPr>
                <w:ilvl w:val="0"/>
                <w:numId w:val="11"/>
              </w:numPr>
              <w:pBdr>
                <w:top w:val="nil"/>
                <w:left w:val="nil"/>
                <w:bottom w:val="nil"/>
                <w:right w:val="nil"/>
                <w:between w:val="nil"/>
              </w:pBdr>
              <w:ind w:left="450"/>
              <w:rPr>
                <w:color w:val="58595B"/>
                <w:sz w:val="20"/>
                <w:szCs w:val="20"/>
              </w:rPr>
            </w:pPr>
            <w:r w:rsidRPr="00B32DC7">
              <w:rPr>
                <w:color w:val="58595B"/>
                <w:sz w:val="20"/>
                <w:szCs w:val="20"/>
              </w:rPr>
              <w:t xml:space="preserve">Can incentivize schools to exaggerate enrolment numbers for more </w:t>
            </w:r>
            <w:proofErr w:type="gramStart"/>
            <w:r w:rsidRPr="00B32DC7">
              <w:rPr>
                <w:color w:val="58595B"/>
                <w:sz w:val="20"/>
                <w:szCs w:val="20"/>
              </w:rPr>
              <w:t>funding</w:t>
            </w:r>
            <w:proofErr w:type="gramEnd"/>
          </w:p>
          <w:p w14:paraId="3AAF2C0E" w14:textId="77777777" w:rsidR="00906C57" w:rsidRPr="00B32DC7" w:rsidRDefault="00906C57" w:rsidP="00906C57">
            <w:pPr>
              <w:widowControl w:val="0"/>
              <w:numPr>
                <w:ilvl w:val="0"/>
                <w:numId w:val="11"/>
              </w:numPr>
              <w:pBdr>
                <w:top w:val="nil"/>
                <w:left w:val="nil"/>
                <w:bottom w:val="nil"/>
                <w:right w:val="nil"/>
                <w:between w:val="nil"/>
              </w:pBdr>
              <w:ind w:left="450"/>
              <w:rPr>
                <w:color w:val="58595B"/>
                <w:sz w:val="20"/>
                <w:szCs w:val="20"/>
              </w:rPr>
            </w:pPr>
            <w:r w:rsidRPr="00B32DC7">
              <w:rPr>
                <w:color w:val="58595B"/>
                <w:sz w:val="20"/>
                <w:szCs w:val="20"/>
              </w:rPr>
              <w:t>Equity considerations are sometimes ignored in grant disbursal</w:t>
            </w:r>
          </w:p>
        </w:tc>
        <w:tc>
          <w:tcPr>
            <w:tcW w:w="2592" w:type="dxa"/>
          </w:tcPr>
          <w:p w14:paraId="6D39E3AF" w14:textId="645687D3"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In Lao</w:t>
            </w:r>
            <w:r w:rsidR="00B32DC7">
              <w:rPr>
                <w:color w:val="58595B"/>
                <w:sz w:val="20"/>
                <w:szCs w:val="20"/>
              </w:rPr>
              <w:t xml:space="preserve"> </w:t>
            </w:r>
            <w:r w:rsidRPr="00B32DC7">
              <w:rPr>
                <w:color w:val="58595B"/>
                <w:sz w:val="20"/>
                <w:szCs w:val="20"/>
              </w:rPr>
              <w:t xml:space="preserve">PDR, </w:t>
            </w:r>
            <w:hyperlink r:id="rId68">
              <w:r w:rsidRPr="00B32DC7">
                <w:rPr>
                  <w:color w:val="58595B"/>
                  <w:sz w:val="20"/>
                  <w:szCs w:val="20"/>
                  <w:u w:val="single"/>
                </w:rPr>
                <w:t>school block grants</w:t>
              </w:r>
            </w:hyperlink>
            <w:r w:rsidRPr="00B32DC7">
              <w:rPr>
                <w:color w:val="58595B"/>
                <w:sz w:val="20"/>
                <w:szCs w:val="20"/>
              </w:rPr>
              <w:t xml:space="preserve"> were used to provide additional funding for non-wage expenditures of primary schools and kindergartens to help schools achieve minimum quality standards</w:t>
            </w:r>
          </w:p>
        </w:tc>
      </w:tr>
      <w:tr w:rsidR="00B32DC7" w:rsidRPr="00B32DC7" w14:paraId="20BC9762" w14:textId="77777777" w:rsidTr="00B32DC7">
        <w:tc>
          <w:tcPr>
            <w:tcW w:w="2592" w:type="dxa"/>
            <w:shd w:val="clear" w:color="auto" w:fill="F2F2F2" w:themeFill="background1" w:themeFillShade="F2"/>
          </w:tcPr>
          <w:p w14:paraId="2447125C"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Results-based financing (RBF)</w:t>
            </w:r>
          </w:p>
        </w:tc>
        <w:tc>
          <w:tcPr>
            <w:tcW w:w="2592" w:type="dxa"/>
          </w:tcPr>
          <w:p w14:paraId="55980FD0"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Umbrella term referring to any program or intervention that provides rewards to individuals or institutions after agreed-upon results are achieved and verified</w:t>
            </w:r>
          </w:p>
        </w:tc>
        <w:tc>
          <w:tcPr>
            <w:tcW w:w="2592" w:type="dxa"/>
          </w:tcPr>
          <w:p w14:paraId="45A387D6" w14:textId="77777777" w:rsidR="00906C57" w:rsidRPr="00B32DC7" w:rsidRDefault="00906C57" w:rsidP="00906C57">
            <w:pPr>
              <w:widowControl w:val="0"/>
              <w:numPr>
                <w:ilvl w:val="0"/>
                <w:numId w:val="12"/>
              </w:numPr>
              <w:pBdr>
                <w:top w:val="nil"/>
                <w:left w:val="nil"/>
                <w:bottom w:val="nil"/>
                <w:right w:val="nil"/>
                <w:between w:val="nil"/>
              </w:pBdr>
              <w:ind w:left="360"/>
              <w:rPr>
                <w:color w:val="58595B"/>
                <w:sz w:val="20"/>
                <w:szCs w:val="20"/>
              </w:rPr>
            </w:pPr>
            <w:r w:rsidRPr="00B32DC7">
              <w:rPr>
                <w:color w:val="58595B"/>
                <w:sz w:val="20"/>
                <w:szCs w:val="20"/>
              </w:rPr>
              <w:t>Potential to provide a stronger focus on actions necessary to improve learning outcomes, foster local solutions to common education challenges, and strengthen capacity of education systems to measure and track progress and generate data and evidence on the cost-effectiveness of interventions</w:t>
            </w:r>
          </w:p>
        </w:tc>
        <w:tc>
          <w:tcPr>
            <w:tcW w:w="2592" w:type="dxa"/>
          </w:tcPr>
          <w:p w14:paraId="2D9EFE73" w14:textId="77777777" w:rsidR="00906C57" w:rsidRPr="00B32DC7" w:rsidRDefault="00906C57" w:rsidP="00906C57">
            <w:pPr>
              <w:widowControl w:val="0"/>
              <w:numPr>
                <w:ilvl w:val="0"/>
                <w:numId w:val="24"/>
              </w:numPr>
              <w:pBdr>
                <w:top w:val="nil"/>
                <w:left w:val="nil"/>
                <w:bottom w:val="nil"/>
                <w:right w:val="nil"/>
                <w:between w:val="nil"/>
              </w:pBdr>
              <w:ind w:left="450"/>
              <w:rPr>
                <w:color w:val="58595B"/>
                <w:sz w:val="20"/>
                <w:szCs w:val="20"/>
              </w:rPr>
            </w:pPr>
            <w:r w:rsidRPr="00B32DC7">
              <w:rPr>
                <w:color w:val="58595B"/>
                <w:sz w:val="20"/>
                <w:szCs w:val="20"/>
              </w:rPr>
              <w:t xml:space="preserve">Need to be well-designed and well-implemented </w:t>
            </w:r>
            <w:proofErr w:type="gramStart"/>
            <w:r w:rsidRPr="00B32DC7">
              <w:rPr>
                <w:color w:val="58595B"/>
                <w:sz w:val="20"/>
                <w:szCs w:val="20"/>
              </w:rPr>
              <w:t>in order to</w:t>
            </w:r>
            <w:proofErr w:type="gramEnd"/>
            <w:r w:rsidRPr="00B32DC7">
              <w:rPr>
                <w:color w:val="58595B"/>
                <w:sz w:val="20"/>
                <w:szCs w:val="20"/>
              </w:rPr>
              <w:t xml:space="preserve"> incur benefits</w:t>
            </w:r>
          </w:p>
        </w:tc>
        <w:tc>
          <w:tcPr>
            <w:tcW w:w="2592" w:type="dxa"/>
          </w:tcPr>
          <w:p w14:paraId="47945639" w14:textId="77777777" w:rsidR="00906C57" w:rsidRPr="00B32DC7" w:rsidRDefault="00906C57" w:rsidP="003F4C69">
            <w:pPr>
              <w:widowControl w:val="0"/>
              <w:pBdr>
                <w:top w:val="nil"/>
                <w:left w:val="nil"/>
                <w:bottom w:val="nil"/>
                <w:right w:val="nil"/>
                <w:between w:val="nil"/>
              </w:pBdr>
              <w:rPr>
                <w:color w:val="58595B"/>
                <w:sz w:val="20"/>
                <w:szCs w:val="20"/>
              </w:rPr>
            </w:pPr>
          </w:p>
        </w:tc>
      </w:tr>
      <w:tr w:rsidR="00B32DC7" w:rsidRPr="00B32DC7" w14:paraId="1DFFE522" w14:textId="77777777" w:rsidTr="00B32DC7">
        <w:tc>
          <w:tcPr>
            <w:tcW w:w="2592" w:type="dxa"/>
            <w:shd w:val="clear" w:color="auto" w:fill="F2F2F2" w:themeFill="background1" w:themeFillShade="F2"/>
          </w:tcPr>
          <w:p w14:paraId="7E0859CC"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Conditional cash transfers (CCT)</w:t>
            </w:r>
          </w:p>
        </w:tc>
        <w:tc>
          <w:tcPr>
            <w:tcW w:w="2592" w:type="dxa"/>
          </w:tcPr>
          <w:p w14:paraId="2169E717"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A form of RBF where families receive a cash transfer if they fulfil certain conditions, such as ensuring their children attend a school or health visits</w:t>
            </w:r>
          </w:p>
        </w:tc>
        <w:tc>
          <w:tcPr>
            <w:tcW w:w="2592" w:type="dxa"/>
          </w:tcPr>
          <w:p w14:paraId="76D31A1F" w14:textId="77777777" w:rsidR="00906C57" w:rsidRPr="00B32DC7" w:rsidRDefault="00906C57" w:rsidP="00906C57">
            <w:pPr>
              <w:widowControl w:val="0"/>
              <w:numPr>
                <w:ilvl w:val="0"/>
                <w:numId w:val="17"/>
              </w:numPr>
              <w:pBdr>
                <w:top w:val="nil"/>
                <w:left w:val="nil"/>
                <w:bottom w:val="nil"/>
                <w:right w:val="nil"/>
                <w:between w:val="nil"/>
              </w:pBdr>
              <w:ind w:left="360"/>
              <w:rPr>
                <w:color w:val="58595B"/>
                <w:sz w:val="20"/>
                <w:szCs w:val="20"/>
              </w:rPr>
            </w:pPr>
            <w:r w:rsidRPr="00B32DC7">
              <w:rPr>
                <w:color w:val="58595B"/>
                <w:sz w:val="20"/>
                <w:szCs w:val="20"/>
              </w:rPr>
              <w:t>Documented success in increasing enrolment numbers and correlating dropout rates when transfers are contingent on school attendance</w:t>
            </w:r>
          </w:p>
        </w:tc>
        <w:tc>
          <w:tcPr>
            <w:tcW w:w="2592" w:type="dxa"/>
          </w:tcPr>
          <w:p w14:paraId="1B9DFD04" w14:textId="77777777" w:rsidR="00906C57" w:rsidRPr="00B32DC7" w:rsidRDefault="00906C57" w:rsidP="00906C57">
            <w:pPr>
              <w:widowControl w:val="0"/>
              <w:numPr>
                <w:ilvl w:val="0"/>
                <w:numId w:val="8"/>
              </w:numPr>
              <w:pBdr>
                <w:top w:val="nil"/>
                <w:left w:val="nil"/>
                <w:bottom w:val="nil"/>
                <w:right w:val="nil"/>
                <w:between w:val="nil"/>
              </w:pBdr>
              <w:ind w:left="450"/>
              <w:rPr>
                <w:color w:val="58595B"/>
                <w:sz w:val="20"/>
                <w:szCs w:val="20"/>
              </w:rPr>
            </w:pPr>
            <w:r w:rsidRPr="00B32DC7">
              <w:rPr>
                <w:color w:val="58595B"/>
                <w:sz w:val="20"/>
                <w:szCs w:val="20"/>
              </w:rPr>
              <w:t xml:space="preserve">Requires significant government </w:t>
            </w:r>
            <w:proofErr w:type="gramStart"/>
            <w:r w:rsidRPr="00B32DC7">
              <w:rPr>
                <w:color w:val="58595B"/>
                <w:sz w:val="20"/>
                <w:szCs w:val="20"/>
              </w:rPr>
              <w:t>investment</w:t>
            </w:r>
            <w:proofErr w:type="gramEnd"/>
          </w:p>
          <w:p w14:paraId="17004FB5" w14:textId="77777777" w:rsidR="00906C57" w:rsidRPr="00B32DC7" w:rsidRDefault="00906C57" w:rsidP="00906C57">
            <w:pPr>
              <w:widowControl w:val="0"/>
              <w:numPr>
                <w:ilvl w:val="0"/>
                <w:numId w:val="8"/>
              </w:numPr>
              <w:pBdr>
                <w:top w:val="nil"/>
                <w:left w:val="nil"/>
                <w:bottom w:val="nil"/>
                <w:right w:val="nil"/>
                <w:between w:val="nil"/>
              </w:pBdr>
              <w:ind w:left="450"/>
              <w:rPr>
                <w:color w:val="58595B"/>
                <w:sz w:val="20"/>
                <w:szCs w:val="20"/>
              </w:rPr>
            </w:pPr>
            <w:r w:rsidRPr="00B32DC7">
              <w:rPr>
                <w:color w:val="58595B"/>
                <w:sz w:val="20"/>
                <w:szCs w:val="20"/>
              </w:rPr>
              <w:t>Has limited evidence in improving student learning outcomes</w:t>
            </w:r>
          </w:p>
        </w:tc>
        <w:tc>
          <w:tcPr>
            <w:tcW w:w="2592" w:type="dxa"/>
          </w:tcPr>
          <w:p w14:paraId="01FE90A6"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 xml:space="preserve">This </w:t>
            </w:r>
            <w:hyperlink r:id="rId69">
              <w:r w:rsidRPr="00B32DC7">
                <w:rPr>
                  <w:color w:val="58595B"/>
                  <w:sz w:val="20"/>
                  <w:szCs w:val="20"/>
                  <w:u w:val="single"/>
                </w:rPr>
                <w:t>brief from the World Bank</w:t>
              </w:r>
            </w:hyperlink>
            <w:r w:rsidRPr="00B32DC7">
              <w:rPr>
                <w:color w:val="58595B"/>
                <w:sz w:val="20"/>
                <w:szCs w:val="20"/>
              </w:rPr>
              <w:t xml:space="preserve"> examines the existing evidence and potential for bringing together cash transfer programmes and parenting interventions on early child stimulation to improve child development outcomes, notably cognitive and </w:t>
            </w:r>
            <w:r w:rsidRPr="00B32DC7">
              <w:rPr>
                <w:color w:val="58595B"/>
                <w:sz w:val="20"/>
                <w:szCs w:val="20"/>
              </w:rPr>
              <w:lastRenderedPageBreak/>
              <w:t xml:space="preserve">language skills. Examples from Colombia, Mexico, Niger, and Peru are mentioned. </w:t>
            </w:r>
          </w:p>
        </w:tc>
      </w:tr>
      <w:tr w:rsidR="00B32DC7" w:rsidRPr="00B32DC7" w14:paraId="5A36A871" w14:textId="77777777" w:rsidTr="00B32DC7">
        <w:tc>
          <w:tcPr>
            <w:tcW w:w="2592" w:type="dxa"/>
            <w:shd w:val="clear" w:color="auto" w:fill="F2F2F2" w:themeFill="background1" w:themeFillShade="F2"/>
          </w:tcPr>
          <w:p w14:paraId="7D05FF00"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lastRenderedPageBreak/>
              <w:t>Impact bonds</w:t>
            </w:r>
          </w:p>
        </w:tc>
        <w:tc>
          <w:tcPr>
            <w:tcW w:w="2592" w:type="dxa"/>
          </w:tcPr>
          <w:p w14:paraId="6A1495F0"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A form of RBF that incorporates the use of private funding from investors to cover the upfront capital required for a provider to set up and deliver a service</w:t>
            </w:r>
          </w:p>
        </w:tc>
        <w:tc>
          <w:tcPr>
            <w:tcW w:w="2592" w:type="dxa"/>
          </w:tcPr>
          <w:p w14:paraId="32C90A9B" w14:textId="77777777" w:rsidR="00906C57" w:rsidRPr="00B32DC7" w:rsidRDefault="00906C57" w:rsidP="00906C57">
            <w:pPr>
              <w:widowControl w:val="0"/>
              <w:numPr>
                <w:ilvl w:val="0"/>
                <w:numId w:val="18"/>
              </w:numPr>
              <w:pBdr>
                <w:top w:val="nil"/>
                <w:left w:val="nil"/>
                <w:bottom w:val="nil"/>
                <w:right w:val="nil"/>
                <w:between w:val="nil"/>
              </w:pBdr>
              <w:ind w:left="360"/>
              <w:rPr>
                <w:color w:val="58595B"/>
                <w:sz w:val="20"/>
                <w:szCs w:val="20"/>
              </w:rPr>
            </w:pPr>
            <w:r w:rsidRPr="00B32DC7">
              <w:rPr>
                <w:color w:val="58595B"/>
                <w:sz w:val="20"/>
                <w:szCs w:val="20"/>
              </w:rPr>
              <w:t xml:space="preserve">Focuses on outcomes and drives performance management and evaluation from all involved </w:t>
            </w:r>
            <w:proofErr w:type="gramStart"/>
            <w:r w:rsidRPr="00B32DC7">
              <w:rPr>
                <w:color w:val="58595B"/>
                <w:sz w:val="20"/>
                <w:szCs w:val="20"/>
              </w:rPr>
              <w:t>parties</w:t>
            </w:r>
            <w:proofErr w:type="gramEnd"/>
          </w:p>
          <w:p w14:paraId="65A89DCB" w14:textId="77777777" w:rsidR="00906C57" w:rsidRPr="00B32DC7" w:rsidRDefault="00906C57" w:rsidP="00906C57">
            <w:pPr>
              <w:widowControl w:val="0"/>
              <w:numPr>
                <w:ilvl w:val="0"/>
                <w:numId w:val="18"/>
              </w:numPr>
              <w:pBdr>
                <w:top w:val="nil"/>
                <w:left w:val="nil"/>
                <w:bottom w:val="nil"/>
                <w:right w:val="nil"/>
                <w:between w:val="nil"/>
              </w:pBdr>
              <w:ind w:left="360"/>
              <w:rPr>
                <w:color w:val="58595B"/>
                <w:sz w:val="20"/>
                <w:szCs w:val="20"/>
              </w:rPr>
            </w:pPr>
            <w:r w:rsidRPr="00B32DC7">
              <w:rPr>
                <w:color w:val="58595B"/>
                <w:sz w:val="20"/>
                <w:szCs w:val="20"/>
              </w:rPr>
              <w:t>Reduced risk for the outcome funder</w:t>
            </w:r>
          </w:p>
        </w:tc>
        <w:tc>
          <w:tcPr>
            <w:tcW w:w="2592" w:type="dxa"/>
          </w:tcPr>
          <w:p w14:paraId="10BA6B83" w14:textId="77777777" w:rsidR="00906C57" w:rsidRPr="00B32DC7" w:rsidRDefault="00906C57" w:rsidP="00906C57">
            <w:pPr>
              <w:widowControl w:val="0"/>
              <w:numPr>
                <w:ilvl w:val="0"/>
                <w:numId w:val="29"/>
              </w:numPr>
              <w:pBdr>
                <w:top w:val="nil"/>
                <w:left w:val="nil"/>
                <w:bottom w:val="nil"/>
                <w:right w:val="nil"/>
                <w:between w:val="nil"/>
              </w:pBdr>
              <w:ind w:left="450"/>
              <w:rPr>
                <w:color w:val="58595B"/>
                <w:sz w:val="20"/>
                <w:szCs w:val="20"/>
              </w:rPr>
            </w:pPr>
            <w:r w:rsidRPr="00B32DC7">
              <w:rPr>
                <w:color w:val="58595B"/>
                <w:sz w:val="20"/>
                <w:szCs w:val="20"/>
              </w:rPr>
              <w:t>Can be costly and time-consuming to design and implement due to complexity and multiplicity of partners and funders</w:t>
            </w:r>
          </w:p>
        </w:tc>
        <w:tc>
          <w:tcPr>
            <w:tcW w:w="2592" w:type="dxa"/>
          </w:tcPr>
          <w:p w14:paraId="5ABB303E" w14:textId="77777777" w:rsidR="00906C57" w:rsidRPr="00B32DC7" w:rsidRDefault="00000000" w:rsidP="003F4C69">
            <w:pPr>
              <w:rPr>
                <w:color w:val="58595B"/>
                <w:sz w:val="20"/>
                <w:szCs w:val="20"/>
              </w:rPr>
            </w:pPr>
            <w:hyperlink r:id="rId70">
              <w:r w:rsidR="00906C57" w:rsidRPr="00B32DC7">
                <w:rPr>
                  <w:color w:val="58595B"/>
                  <w:sz w:val="20"/>
                  <w:szCs w:val="20"/>
                  <w:u w:val="single"/>
                </w:rPr>
                <w:t>South Africa impact bond innovation fund</w:t>
              </w:r>
            </w:hyperlink>
            <w:r w:rsidR="00906C57" w:rsidRPr="00B32DC7">
              <w:rPr>
                <w:color w:val="58595B"/>
                <w:sz w:val="20"/>
                <w:szCs w:val="20"/>
              </w:rPr>
              <w:t xml:space="preserve">. This example discusses the Innovation Fund Impact Bond, the first early childhood development social impact bond to be launched in South Africa. </w:t>
            </w:r>
          </w:p>
        </w:tc>
      </w:tr>
      <w:tr w:rsidR="00B32DC7" w:rsidRPr="00B32DC7" w14:paraId="02C9CDA8" w14:textId="77777777" w:rsidTr="00B32DC7">
        <w:tc>
          <w:tcPr>
            <w:tcW w:w="2592" w:type="dxa"/>
            <w:shd w:val="clear" w:color="auto" w:fill="F2F2F2" w:themeFill="background1" w:themeFillShade="F2"/>
          </w:tcPr>
          <w:p w14:paraId="7DE8E2CB"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Outcome funds</w:t>
            </w:r>
          </w:p>
        </w:tc>
        <w:tc>
          <w:tcPr>
            <w:tcW w:w="2592" w:type="dxa"/>
          </w:tcPr>
          <w:p w14:paraId="6A518D97"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A form of RBF that pools funding from one or more funders and contracts multiple implementers to achieve a set of pre-defined results. Payments from the fund only occur when those results are achieved. Outcome bonds build on the precedent of impact bonds but contracts multiple implementers under a common funding framework</w:t>
            </w:r>
          </w:p>
        </w:tc>
        <w:tc>
          <w:tcPr>
            <w:tcW w:w="2592" w:type="dxa"/>
          </w:tcPr>
          <w:p w14:paraId="55B1BFD5" w14:textId="77777777" w:rsidR="00906C57" w:rsidRPr="00B32DC7" w:rsidRDefault="00906C57" w:rsidP="00906C57">
            <w:pPr>
              <w:widowControl w:val="0"/>
              <w:numPr>
                <w:ilvl w:val="0"/>
                <w:numId w:val="26"/>
              </w:numPr>
              <w:pBdr>
                <w:top w:val="nil"/>
                <w:left w:val="nil"/>
                <w:bottom w:val="nil"/>
                <w:right w:val="nil"/>
                <w:between w:val="nil"/>
              </w:pBdr>
              <w:ind w:left="360"/>
              <w:rPr>
                <w:color w:val="58595B"/>
                <w:sz w:val="20"/>
                <w:szCs w:val="20"/>
              </w:rPr>
            </w:pPr>
            <w:r w:rsidRPr="00B32DC7">
              <w:rPr>
                <w:color w:val="58595B"/>
                <w:sz w:val="20"/>
                <w:szCs w:val="20"/>
              </w:rPr>
              <w:t xml:space="preserve">Focuses on outcomes and drives performance </w:t>
            </w:r>
            <w:proofErr w:type="gramStart"/>
            <w:r w:rsidRPr="00B32DC7">
              <w:rPr>
                <w:color w:val="58595B"/>
                <w:sz w:val="20"/>
                <w:szCs w:val="20"/>
              </w:rPr>
              <w:t>management</w:t>
            </w:r>
            <w:proofErr w:type="gramEnd"/>
          </w:p>
          <w:p w14:paraId="1F193063" w14:textId="77777777" w:rsidR="00906C57" w:rsidRPr="00B32DC7" w:rsidRDefault="00906C57" w:rsidP="00906C57">
            <w:pPr>
              <w:widowControl w:val="0"/>
              <w:numPr>
                <w:ilvl w:val="0"/>
                <w:numId w:val="26"/>
              </w:numPr>
              <w:pBdr>
                <w:top w:val="nil"/>
                <w:left w:val="nil"/>
                <w:bottom w:val="nil"/>
                <w:right w:val="nil"/>
                <w:between w:val="nil"/>
              </w:pBdr>
              <w:ind w:left="360"/>
              <w:rPr>
                <w:color w:val="58595B"/>
                <w:sz w:val="20"/>
                <w:szCs w:val="20"/>
              </w:rPr>
            </w:pPr>
            <w:r w:rsidRPr="00B32DC7">
              <w:rPr>
                <w:color w:val="58595B"/>
                <w:sz w:val="20"/>
                <w:szCs w:val="20"/>
              </w:rPr>
              <w:t>Reduced risk for outcome funder</w:t>
            </w:r>
          </w:p>
          <w:p w14:paraId="24620FEC" w14:textId="77777777" w:rsidR="00906C57" w:rsidRPr="00B32DC7" w:rsidRDefault="00906C57" w:rsidP="00906C57">
            <w:pPr>
              <w:widowControl w:val="0"/>
              <w:numPr>
                <w:ilvl w:val="0"/>
                <w:numId w:val="26"/>
              </w:numPr>
              <w:pBdr>
                <w:top w:val="nil"/>
                <w:left w:val="nil"/>
                <w:bottom w:val="nil"/>
                <w:right w:val="nil"/>
                <w:between w:val="nil"/>
              </w:pBdr>
              <w:ind w:left="360"/>
              <w:rPr>
                <w:color w:val="58595B"/>
                <w:sz w:val="20"/>
                <w:szCs w:val="20"/>
              </w:rPr>
            </w:pPr>
            <w:r w:rsidRPr="00B32DC7">
              <w:rPr>
                <w:color w:val="58595B"/>
                <w:sz w:val="20"/>
                <w:szCs w:val="20"/>
              </w:rPr>
              <w:t xml:space="preserve">Increased scale reduces transaction costs associated with design and </w:t>
            </w:r>
            <w:proofErr w:type="gramStart"/>
            <w:r w:rsidRPr="00B32DC7">
              <w:rPr>
                <w:color w:val="58595B"/>
                <w:sz w:val="20"/>
                <w:szCs w:val="20"/>
              </w:rPr>
              <w:t>implementation</w:t>
            </w:r>
            <w:proofErr w:type="gramEnd"/>
          </w:p>
          <w:p w14:paraId="61098EEC" w14:textId="77777777" w:rsidR="00906C57" w:rsidRPr="00B32DC7" w:rsidRDefault="00906C57" w:rsidP="00906C57">
            <w:pPr>
              <w:widowControl w:val="0"/>
              <w:numPr>
                <w:ilvl w:val="0"/>
                <w:numId w:val="26"/>
              </w:numPr>
              <w:pBdr>
                <w:top w:val="nil"/>
                <w:left w:val="nil"/>
                <w:bottom w:val="nil"/>
                <w:right w:val="nil"/>
                <w:between w:val="nil"/>
              </w:pBdr>
              <w:ind w:left="360"/>
              <w:rPr>
                <w:color w:val="58595B"/>
                <w:sz w:val="20"/>
                <w:szCs w:val="20"/>
              </w:rPr>
            </w:pPr>
            <w:r w:rsidRPr="00B32DC7">
              <w:rPr>
                <w:color w:val="58595B"/>
                <w:sz w:val="20"/>
                <w:szCs w:val="20"/>
              </w:rPr>
              <w:t>Ability to test and compare different intervention models, generating data on their cost-</w:t>
            </w:r>
            <w:proofErr w:type="spellStart"/>
            <w:r w:rsidRPr="00B32DC7">
              <w:rPr>
                <w:color w:val="58595B"/>
                <w:sz w:val="20"/>
                <w:szCs w:val="20"/>
              </w:rPr>
              <w:t>effectivenes</w:t>
            </w:r>
            <w:proofErr w:type="spellEnd"/>
          </w:p>
        </w:tc>
        <w:tc>
          <w:tcPr>
            <w:tcW w:w="2592" w:type="dxa"/>
          </w:tcPr>
          <w:p w14:paraId="46BCEACC" w14:textId="77777777" w:rsidR="00906C57" w:rsidRPr="00B32DC7" w:rsidRDefault="00906C57" w:rsidP="00906C57">
            <w:pPr>
              <w:widowControl w:val="0"/>
              <w:numPr>
                <w:ilvl w:val="0"/>
                <w:numId w:val="27"/>
              </w:numPr>
              <w:ind w:left="450"/>
              <w:rPr>
                <w:color w:val="58595B"/>
                <w:sz w:val="20"/>
                <w:szCs w:val="20"/>
              </w:rPr>
            </w:pPr>
            <w:r w:rsidRPr="00B32DC7">
              <w:rPr>
                <w:color w:val="58595B"/>
                <w:sz w:val="20"/>
                <w:szCs w:val="20"/>
              </w:rPr>
              <w:t>Can be costly and time-consuming to design and implement due to complexity and multiplicity of partners and funders</w:t>
            </w:r>
          </w:p>
        </w:tc>
        <w:tc>
          <w:tcPr>
            <w:tcW w:w="2592" w:type="dxa"/>
          </w:tcPr>
          <w:p w14:paraId="58885FA3"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 xml:space="preserve">In Sierra Leone, the Education Outcomes Fund launched the </w:t>
            </w:r>
            <w:hyperlink r:id="rId71">
              <w:r w:rsidRPr="00B32DC7">
                <w:rPr>
                  <w:color w:val="58595B"/>
                  <w:sz w:val="20"/>
                  <w:szCs w:val="20"/>
                  <w:u w:val="single"/>
                </w:rPr>
                <w:t>Education Innovation Challenge</w:t>
              </w:r>
            </w:hyperlink>
            <w:r w:rsidRPr="00B32DC7">
              <w:rPr>
                <w:color w:val="58595B"/>
                <w:sz w:val="20"/>
                <w:szCs w:val="20"/>
              </w:rPr>
              <w:t>, which supports public primary schools to improve literacy and numeracy over three years.</w:t>
            </w:r>
          </w:p>
        </w:tc>
      </w:tr>
      <w:tr w:rsidR="00B32DC7" w:rsidRPr="00B32DC7" w14:paraId="081D63F5" w14:textId="77777777" w:rsidTr="00B32DC7">
        <w:tc>
          <w:tcPr>
            <w:tcW w:w="2592" w:type="dxa"/>
            <w:shd w:val="clear" w:color="auto" w:fill="F2F2F2" w:themeFill="background1" w:themeFillShade="F2"/>
          </w:tcPr>
          <w:p w14:paraId="12E3468E"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Public-private partnerships (PPP)</w:t>
            </w:r>
          </w:p>
        </w:tc>
        <w:tc>
          <w:tcPr>
            <w:tcW w:w="2592" w:type="dxa"/>
          </w:tcPr>
          <w:p w14:paraId="3416629F"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Form of partnership model that involves the government collaborating with a private entity in a mutually beneficial partnership to provide services for the public</w:t>
            </w:r>
          </w:p>
        </w:tc>
        <w:tc>
          <w:tcPr>
            <w:tcW w:w="2592" w:type="dxa"/>
          </w:tcPr>
          <w:p w14:paraId="59D23E9C" w14:textId="77777777" w:rsidR="00906C57" w:rsidRPr="00B32DC7" w:rsidRDefault="00906C57" w:rsidP="00906C57">
            <w:pPr>
              <w:widowControl w:val="0"/>
              <w:numPr>
                <w:ilvl w:val="0"/>
                <w:numId w:val="13"/>
              </w:numPr>
              <w:pBdr>
                <w:top w:val="nil"/>
                <w:left w:val="nil"/>
                <w:bottom w:val="nil"/>
                <w:right w:val="nil"/>
                <w:between w:val="nil"/>
              </w:pBdr>
              <w:ind w:left="360"/>
              <w:rPr>
                <w:color w:val="58595B"/>
                <w:sz w:val="20"/>
                <w:szCs w:val="20"/>
              </w:rPr>
            </w:pPr>
            <w:r w:rsidRPr="00B32DC7">
              <w:rPr>
                <w:color w:val="58595B"/>
                <w:sz w:val="20"/>
                <w:szCs w:val="20"/>
              </w:rPr>
              <w:t xml:space="preserve">Brings localized and on-the-ground experience to service </w:t>
            </w:r>
            <w:proofErr w:type="gramStart"/>
            <w:r w:rsidRPr="00B32DC7">
              <w:rPr>
                <w:color w:val="58595B"/>
                <w:sz w:val="20"/>
                <w:szCs w:val="20"/>
              </w:rPr>
              <w:t>delivery</w:t>
            </w:r>
            <w:proofErr w:type="gramEnd"/>
          </w:p>
          <w:p w14:paraId="71B8C022" w14:textId="77777777" w:rsidR="00906C57" w:rsidRPr="00B32DC7" w:rsidRDefault="00906C57" w:rsidP="00906C57">
            <w:pPr>
              <w:widowControl w:val="0"/>
              <w:numPr>
                <w:ilvl w:val="0"/>
                <w:numId w:val="13"/>
              </w:numPr>
              <w:pBdr>
                <w:top w:val="nil"/>
                <w:left w:val="nil"/>
                <w:bottom w:val="nil"/>
                <w:right w:val="nil"/>
                <w:between w:val="nil"/>
              </w:pBdr>
              <w:ind w:left="360"/>
              <w:rPr>
                <w:color w:val="58595B"/>
                <w:sz w:val="20"/>
                <w:szCs w:val="20"/>
              </w:rPr>
            </w:pPr>
            <w:r w:rsidRPr="00B32DC7">
              <w:rPr>
                <w:color w:val="58595B"/>
                <w:sz w:val="20"/>
                <w:szCs w:val="20"/>
              </w:rPr>
              <w:t>Accounts for equity in service delivery</w:t>
            </w:r>
          </w:p>
          <w:p w14:paraId="57AFD3E8" w14:textId="77777777" w:rsidR="00906C57" w:rsidRPr="00B32DC7" w:rsidRDefault="00906C57" w:rsidP="00906C57">
            <w:pPr>
              <w:widowControl w:val="0"/>
              <w:numPr>
                <w:ilvl w:val="0"/>
                <w:numId w:val="13"/>
              </w:numPr>
              <w:pBdr>
                <w:top w:val="nil"/>
                <w:left w:val="nil"/>
                <w:bottom w:val="nil"/>
                <w:right w:val="nil"/>
                <w:between w:val="nil"/>
              </w:pBdr>
              <w:ind w:left="360"/>
              <w:rPr>
                <w:color w:val="58595B"/>
                <w:sz w:val="20"/>
                <w:szCs w:val="20"/>
              </w:rPr>
            </w:pPr>
            <w:r w:rsidRPr="00B32DC7">
              <w:rPr>
                <w:color w:val="58595B"/>
                <w:sz w:val="20"/>
                <w:szCs w:val="20"/>
              </w:rPr>
              <w:t>Creates competition in the private sector which can improve quality</w:t>
            </w:r>
          </w:p>
        </w:tc>
        <w:tc>
          <w:tcPr>
            <w:tcW w:w="2592" w:type="dxa"/>
          </w:tcPr>
          <w:p w14:paraId="0F61595B" w14:textId="77777777" w:rsidR="00906C57" w:rsidRPr="00B32DC7" w:rsidRDefault="00906C57" w:rsidP="00906C57">
            <w:pPr>
              <w:widowControl w:val="0"/>
              <w:numPr>
                <w:ilvl w:val="0"/>
                <w:numId w:val="9"/>
              </w:numPr>
              <w:pBdr>
                <w:top w:val="nil"/>
                <w:left w:val="nil"/>
                <w:bottom w:val="nil"/>
                <w:right w:val="nil"/>
                <w:between w:val="nil"/>
              </w:pBdr>
              <w:ind w:left="450"/>
              <w:rPr>
                <w:color w:val="58595B"/>
                <w:sz w:val="20"/>
                <w:szCs w:val="20"/>
              </w:rPr>
            </w:pPr>
            <w:r w:rsidRPr="00B32DC7">
              <w:rPr>
                <w:color w:val="58595B"/>
                <w:sz w:val="20"/>
                <w:szCs w:val="20"/>
              </w:rPr>
              <w:t xml:space="preserve">Requires a well-functioning regulatory framework and capacity for monitoring and </w:t>
            </w:r>
            <w:proofErr w:type="gramStart"/>
            <w:r w:rsidRPr="00B32DC7">
              <w:rPr>
                <w:color w:val="58595B"/>
                <w:sz w:val="20"/>
                <w:szCs w:val="20"/>
              </w:rPr>
              <w:t>evaluation</w:t>
            </w:r>
            <w:proofErr w:type="gramEnd"/>
          </w:p>
          <w:p w14:paraId="24ADA504" w14:textId="77777777" w:rsidR="00906C57" w:rsidRPr="00B32DC7" w:rsidRDefault="00906C57" w:rsidP="00906C57">
            <w:pPr>
              <w:widowControl w:val="0"/>
              <w:numPr>
                <w:ilvl w:val="0"/>
                <w:numId w:val="9"/>
              </w:numPr>
              <w:pBdr>
                <w:top w:val="nil"/>
                <w:left w:val="nil"/>
                <w:bottom w:val="nil"/>
                <w:right w:val="nil"/>
                <w:between w:val="nil"/>
              </w:pBdr>
              <w:ind w:left="450"/>
              <w:rPr>
                <w:color w:val="58595B"/>
                <w:sz w:val="20"/>
                <w:szCs w:val="20"/>
              </w:rPr>
            </w:pPr>
            <w:r w:rsidRPr="00B32DC7">
              <w:rPr>
                <w:color w:val="58595B"/>
                <w:sz w:val="20"/>
                <w:szCs w:val="20"/>
              </w:rPr>
              <w:t>Sometimes does not account for equity in service provision</w:t>
            </w:r>
          </w:p>
        </w:tc>
        <w:tc>
          <w:tcPr>
            <w:tcW w:w="2592" w:type="dxa"/>
          </w:tcPr>
          <w:p w14:paraId="34A063B2" w14:textId="77777777" w:rsidR="00906C57" w:rsidRPr="00B32DC7" w:rsidRDefault="00906C57" w:rsidP="003F4C69">
            <w:pPr>
              <w:widowControl w:val="0"/>
              <w:pBdr>
                <w:top w:val="nil"/>
                <w:left w:val="nil"/>
                <w:bottom w:val="nil"/>
                <w:right w:val="nil"/>
                <w:between w:val="nil"/>
              </w:pBdr>
              <w:rPr>
                <w:color w:val="58595B"/>
                <w:sz w:val="20"/>
                <w:szCs w:val="20"/>
              </w:rPr>
            </w:pPr>
          </w:p>
        </w:tc>
      </w:tr>
      <w:tr w:rsidR="00B32DC7" w:rsidRPr="00B32DC7" w14:paraId="218FB66C" w14:textId="77777777" w:rsidTr="00B32DC7">
        <w:tc>
          <w:tcPr>
            <w:tcW w:w="2592" w:type="dxa"/>
            <w:shd w:val="clear" w:color="auto" w:fill="F2F2F2" w:themeFill="background1" w:themeFillShade="F2"/>
          </w:tcPr>
          <w:p w14:paraId="6A905BA2"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Vouchers</w:t>
            </w:r>
          </w:p>
        </w:tc>
        <w:tc>
          <w:tcPr>
            <w:tcW w:w="2592" w:type="dxa"/>
          </w:tcPr>
          <w:p w14:paraId="3F184771"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 xml:space="preserve">A form of PPP where a voucher is given to </w:t>
            </w:r>
            <w:r w:rsidRPr="00B32DC7">
              <w:rPr>
                <w:color w:val="58595B"/>
                <w:sz w:val="20"/>
                <w:szCs w:val="20"/>
              </w:rPr>
              <w:lastRenderedPageBreak/>
              <w:t>generally low-income or marginalized students and represents a monetary value so that once the student is enrolled in a school, the school is reimbursed the cost of fees from the government</w:t>
            </w:r>
          </w:p>
        </w:tc>
        <w:tc>
          <w:tcPr>
            <w:tcW w:w="2592" w:type="dxa"/>
          </w:tcPr>
          <w:p w14:paraId="2179A1FA" w14:textId="77777777" w:rsidR="00906C57" w:rsidRPr="00B32DC7" w:rsidRDefault="00906C57" w:rsidP="00906C57">
            <w:pPr>
              <w:widowControl w:val="0"/>
              <w:numPr>
                <w:ilvl w:val="0"/>
                <w:numId w:val="14"/>
              </w:numPr>
              <w:pBdr>
                <w:top w:val="nil"/>
                <w:left w:val="nil"/>
                <w:bottom w:val="nil"/>
                <w:right w:val="nil"/>
                <w:between w:val="nil"/>
              </w:pBdr>
              <w:ind w:left="360"/>
              <w:rPr>
                <w:color w:val="58595B"/>
                <w:sz w:val="20"/>
                <w:szCs w:val="20"/>
              </w:rPr>
            </w:pPr>
            <w:r w:rsidRPr="00B32DC7">
              <w:rPr>
                <w:color w:val="58595B"/>
                <w:sz w:val="20"/>
                <w:szCs w:val="20"/>
              </w:rPr>
              <w:lastRenderedPageBreak/>
              <w:t xml:space="preserve">Improves access and equity by enabling all </w:t>
            </w:r>
            <w:r w:rsidRPr="00B32DC7">
              <w:rPr>
                <w:color w:val="58595B"/>
                <w:sz w:val="20"/>
                <w:szCs w:val="20"/>
              </w:rPr>
              <w:lastRenderedPageBreak/>
              <w:t xml:space="preserve">children to receive affordable </w:t>
            </w:r>
            <w:proofErr w:type="gramStart"/>
            <w:r w:rsidRPr="00B32DC7">
              <w:rPr>
                <w:color w:val="58595B"/>
                <w:sz w:val="20"/>
                <w:szCs w:val="20"/>
              </w:rPr>
              <w:t>ECE</w:t>
            </w:r>
            <w:proofErr w:type="gramEnd"/>
          </w:p>
          <w:p w14:paraId="5247CB30" w14:textId="77777777" w:rsidR="00906C57" w:rsidRPr="00B32DC7" w:rsidRDefault="00906C57" w:rsidP="00906C57">
            <w:pPr>
              <w:widowControl w:val="0"/>
              <w:numPr>
                <w:ilvl w:val="0"/>
                <w:numId w:val="14"/>
              </w:numPr>
              <w:pBdr>
                <w:top w:val="nil"/>
                <w:left w:val="nil"/>
                <w:bottom w:val="nil"/>
                <w:right w:val="nil"/>
                <w:between w:val="nil"/>
              </w:pBdr>
              <w:ind w:left="360"/>
              <w:rPr>
                <w:color w:val="58595B"/>
                <w:sz w:val="20"/>
                <w:szCs w:val="20"/>
              </w:rPr>
            </w:pPr>
            <w:r w:rsidRPr="00B32DC7">
              <w:rPr>
                <w:color w:val="58595B"/>
                <w:sz w:val="20"/>
                <w:szCs w:val="20"/>
              </w:rPr>
              <w:t xml:space="preserve">Strengthens parental </w:t>
            </w:r>
            <w:proofErr w:type="gramStart"/>
            <w:r w:rsidRPr="00B32DC7">
              <w:rPr>
                <w:color w:val="58595B"/>
                <w:sz w:val="20"/>
                <w:szCs w:val="20"/>
              </w:rPr>
              <w:t>choice</w:t>
            </w:r>
            <w:proofErr w:type="gramEnd"/>
          </w:p>
          <w:p w14:paraId="274AC256" w14:textId="77777777" w:rsidR="00906C57" w:rsidRPr="00B32DC7" w:rsidRDefault="00906C57" w:rsidP="00906C57">
            <w:pPr>
              <w:widowControl w:val="0"/>
              <w:numPr>
                <w:ilvl w:val="0"/>
                <w:numId w:val="14"/>
              </w:numPr>
              <w:pBdr>
                <w:top w:val="nil"/>
                <w:left w:val="nil"/>
                <w:bottom w:val="nil"/>
                <w:right w:val="nil"/>
                <w:between w:val="nil"/>
              </w:pBdr>
              <w:ind w:left="360"/>
              <w:rPr>
                <w:color w:val="58595B"/>
                <w:sz w:val="20"/>
                <w:szCs w:val="20"/>
              </w:rPr>
            </w:pPr>
            <w:r w:rsidRPr="00B32DC7">
              <w:rPr>
                <w:color w:val="58595B"/>
                <w:sz w:val="20"/>
                <w:szCs w:val="20"/>
              </w:rPr>
              <w:t>Can create competition among schools to improve quality and attract more students</w:t>
            </w:r>
          </w:p>
        </w:tc>
        <w:tc>
          <w:tcPr>
            <w:tcW w:w="2592" w:type="dxa"/>
          </w:tcPr>
          <w:p w14:paraId="7A0E252C" w14:textId="77777777" w:rsidR="00906C57" w:rsidRPr="00B32DC7" w:rsidRDefault="00906C57" w:rsidP="00906C57">
            <w:pPr>
              <w:widowControl w:val="0"/>
              <w:numPr>
                <w:ilvl w:val="0"/>
                <w:numId w:val="10"/>
              </w:numPr>
              <w:pBdr>
                <w:top w:val="nil"/>
                <w:left w:val="nil"/>
                <w:bottom w:val="nil"/>
                <w:right w:val="nil"/>
                <w:between w:val="nil"/>
              </w:pBdr>
              <w:ind w:left="450"/>
              <w:rPr>
                <w:color w:val="58595B"/>
                <w:sz w:val="20"/>
                <w:szCs w:val="20"/>
              </w:rPr>
            </w:pPr>
            <w:r w:rsidRPr="00B32DC7">
              <w:rPr>
                <w:color w:val="58595B"/>
                <w:sz w:val="20"/>
                <w:szCs w:val="20"/>
              </w:rPr>
              <w:lastRenderedPageBreak/>
              <w:t xml:space="preserve">Requires significant government </w:t>
            </w:r>
            <w:proofErr w:type="gramStart"/>
            <w:r w:rsidRPr="00B32DC7">
              <w:rPr>
                <w:color w:val="58595B"/>
                <w:sz w:val="20"/>
                <w:szCs w:val="20"/>
              </w:rPr>
              <w:lastRenderedPageBreak/>
              <w:t>investment</w:t>
            </w:r>
            <w:proofErr w:type="gramEnd"/>
          </w:p>
          <w:p w14:paraId="0BB4F137" w14:textId="77777777" w:rsidR="00906C57" w:rsidRPr="00B32DC7" w:rsidRDefault="00906C57" w:rsidP="00906C57">
            <w:pPr>
              <w:widowControl w:val="0"/>
              <w:numPr>
                <w:ilvl w:val="0"/>
                <w:numId w:val="10"/>
              </w:numPr>
              <w:pBdr>
                <w:top w:val="nil"/>
                <w:left w:val="nil"/>
                <w:bottom w:val="nil"/>
                <w:right w:val="nil"/>
                <w:between w:val="nil"/>
              </w:pBdr>
              <w:ind w:left="450"/>
              <w:rPr>
                <w:color w:val="58595B"/>
                <w:sz w:val="20"/>
                <w:szCs w:val="20"/>
              </w:rPr>
            </w:pPr>
            <w:r w:rsidRPr="00B32DC7">
              <w:rPr>
                <w:color w:val="58595B"/>
                <w:sz w:val="20"/>
                <w:szCs w:val="20"/>
              </w:rPr>
              <w:t>Can cause private schools to deny access to specific groups or charge top-up fees for students using voucher</w:t>
            </w:r>
          </w:p>
        </w:tc>
        <w:tc>
          <w:tcPr>
            <w:tcW w:w="2592" w:type="dxa"/>
          </w:tcPr>
          <w:p w14:paraId="37967192"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lastRenderedPageBreak/>
              <w:t xml:space="preserve">In Hong Kong, the </w:t>
            </w:r>
            <w:hyperlink r:id="rId72">
              <w:r w:rsidRPr="00B32DC7">
                <w:rPr>
                  <w:color w:val="58595B"/>
                  <w:sz w:val="20"/>
                  <w:szCs w:val="20"/>
                  <w:u w:val="single"/>
                </w:rPr>
                <w:t xml:space="preserve">Pre-primary Education </w:t>
              </w:r>
              <w:r w:rsidRPr="00B32DC7">
                <w:rPr>
                  <w:color w:val="58595B"/>
                  <w:sz w:val="20"/>
                  <w:szCs w:val="20"/>
                  <w:u w:val="single"/>
                </w:rPr>
                <w:lastRenderedPageBreak/>
                <w:t>Voucher Scheme</w:t>
              </w:r>
            </w:hyperlink>
            <w:r w:rsidRPr="00B32DC7">
              <w:rPr>
                <w:color w:val="58595B"/>
                <w:sz w:val="20"/>
                <w:szCs w:val="20"/>
              </w:rPr>
              <w:t xml:space="preserve"> offers direct subsidies to parents with kindergarteners. </w:t>
            </w:r>
          </w:p>
        </w:tc>
      </w:tr>
      <w:tr w:rsidR="00B32DC7" w:rsidRPr="00B32DC7" w14:paraId="518CE31F" w14:textId="77777777" w:rsidTr="00B32DC7">
        <w:tc>
          <w:tcPr>
            <w:tcW w:w="2592" w:type="dxa"/>
            <w:shd w:val="clear" w:color="auto" w:fill="F2F2F2" w:themeFill="background1" w:themeFillShade="F2"/>
          </w:tcPr>
          <w:p w14:paraId="2156128C"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lastRenderedPageBreak/>
              <w:t>Subsidies or service-delivery initiatives</w:t>
            </w:r>
          </w:p>
        </w:tc>
        <w:tc>
          <w:tcPr>
            <w:tcW w:w="2592" w:type="dxa"/>
          </w:tcPr>
          <w:p w14:paraId="7E123902"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 xml:space="preserve">A form of PPP where subsidies are provided directly to private preschools, based on characteristics such as the number of teachers </w:t>
            </w:r>
            <w:proofErr w:type="gramStart"/>
            <w:r w:rsidRPr="00B32DC7">
              <w:rPr>
                <w:color w:val="58595B"/>
                <w:sz w:val="20"/>
                <w:szCs w:val="20"/>
              </w:rPr>
              <w:t>employed</w:t>
            </w:r>
            <w:proofErr w:type="gramEnd"/>
            <w:r w:rsidRPr="00B32DC7">
              <w:rPr>
                <w:color w:val="58595B"/>
                <w:sz w:val="20"/>
                <w:szCs w:val="20"/>
              </w:rPr>
              <w:t xml:space="preserve"> or children enrolled. Can be in the form of an initial start-up subsidy or grant or an ongoing operational subsidy</w:t>
            </w:r>
          </w:p>
        </w:tc>
        <w:tc>
          <w:tcPr>
            <w:tcW w:w="2592" w:type="dxa"/>
          </w:tcPr>
          <w:p w14:paraId="1C21EBC1" w14:textId="77777777" w:rsidR="00906C57" w:rsidRPr="00B32DC7" w:rsidRDefault="00906C57" w:rsidP="00906C57">
            <w:pPr>
              <w:widowControl w:val="0"/>
              <w:numPr>
                <w:ilvl w:val="0"/>
                <w:numId w:val="23"/>
              </w:numPr>
              <w:pBdr>
                <w:top w:val="nil"/>
                <w:left w:val="nil"/>
                <w:bottom w:val="nil"/>
                <w:right w:val="nil"/>
                <w:between w:val="nil"/>
              </w:pBdr>
              <w:ind w:left="360"/>
              <w:rPr>
                <w:color w:val="58595B"/>
                <w:sz w:val="20"/>
                <w:szCs w:val="20"/>
              </w:rPr>
            </w:pPr>
            <w:r w:rsidRPr="00B32DC7">
              <w:rPr>
                <w:color w:val="58595B"/>
                <w:sz w:val="20"/>
                <w:szCs w:val="20"/>
              </w:rPr>
              <w:t>Can be utilized when public programs either do not exist or do not have sufficient space to accommodate demand</w:t>
            </w:r>
          </w:p>
        </w:tc>
        <w:tc>
          <w:tcPr>
            <w:tcW w:w="2592" w:type="dxa"/>
          </w:tcPr>
          <w:p w14:paraId="5C5DFF7D" w14:textId="77777777" w:rsidR="00906C57" w:rsidRPr="00B32DC7" w:rsidRDefault="00906C57" w:rsidP="00906C57">
            <w:pPr>
              <w:widowControl w:val="0"/>
              <w:numPr>
                <w:ilvl w:val="0"/>
                <w:numId w:val="28"/>
              </w:numPr>
              <w:pBdr>
                <w:top w:val="nil"/>
                <w:left w:val="nil"/>
                <w:bottom w:val="nil"/>
                <w:right w:val="nil"/>
                <w:between w:val="nil"/>
              </w:pBdr>
              <w:ind w:left="450"/>
              <w:rPr>
                <w:color w:val="58595B"/>
                <w:sz w:val="20"/>
                <w:szCs w:val="20"/>
              </w:rPr>
            </w:pPr>
            <w:r w:rsidRPr="00B32DC7">
              <w:rPr>
                <w:color w:val="58595B"/>
                <w:sz w:val="20"/>
                <w:szCs w:val="20"/>
              </w:rPr>
              <w:t>Requires significant government investment</w:t>
            </w:r>
          </w:p>
        </w:tc>
        <w:tc>
          <w:tcPr>
            <w:tcW w:w="2592" w:type="dxa"/>
          </w:tcPr>
          <w:p w14:paraId="1D1F36FA" w14:textId="77777777" w:rsidR="00906C57" w:rsidRPr="00B32DC7" w:rsidRDefault="00906C57" w:rsidP="003F4C69">
            <w:pPr>
              <w:widowControl w:val="0"/>
              <w:pBdr>
                <w:top w:val="nil"/>
                <w:left w:val="nil"/>
                <w:bottom w:val="nil"/>
                <w:right w:val="nil"/>
                <w:between w:val="nil"/>
              </w:pBdr>
              <w:rPr>
                <w:i/>
                <w:color w:val="58595B"/>
                <w:sz w:val="20"/>
                <w:szCs w:val="20"/>
              </w:rPr>
            </w:pPr>
            <w:r w:rsidRPr="00B32DC7">
              <w:rPr>
                <w:color w:val="58595B"/>
                <w:sz w:val="20"/>
                <w:szCs w:val="20"/>
              </w:rPr>
              <w:t xml:space="preserve">In South Africa, ECE subsidies have been provided by the government for registered ECD centres, which has helped reduce the cost of ECD services for parents and caregivers. For more information, see pp. 33-34 in </w:t>
            </w:r>
            <w:hyperlink r:id="rId73">
              <w:r w:rsidRPr="00B32DC7">
                <w:rPr>
                  <w:i/>
                  <w:color w:val="58595B"/>
                  <w:sz w:val="20"/>
                  <w:szCs w:val="20"/>
                  <w:u w:val="single"/>
                </w:rPr>
                <w:t>Add today, multiply tomorrow</w:t>
              </w:r>
            </w:hyperlink>
            <w:r w:rsidRPr="00B32DC7">
              <w:rPr>
                <w:i/>
                <w:color w:val="58595B"/>
                <w:sz w:val="20"/>
                <w:szCs w:val="20"/>
              </w:rPr>
              <w:t>.</w:t>
            </w:r>
          </w:p>
        </w:tc>
      </w:tr>
      <w:tr w:rsidR="00B32DC7" w:rsidRPr="00B32DC7" w14:paraId="0218C418" w14:textId="77777777" w:rsidTr="00B32DC7">
        <w:tc>
          <w:tcPr>
            <w:tcW w:w="2592" w:type="dxa"/>
            <w:shd w:val="clear" w:color="auto" w:fill="F2F2F2" w:themeFill="background1" w:themeFillShade="F2"/>
          </w:tcPr>
          <w:p w14:paraId="24F1EEFC" w14:textId="77777777" w:rsidR="00906C57" w:rsidRPr="00B32DC7" w:rsidRDefault="00906C57" w:rsidP="00B32DC7">
            <w:pPr>
              <w:widowControl w:val="0"/>
              <w:pBdr>
                <w:top w:val="nil"/>
                <w:left w:val="nil"/>
                <w:bottom w:val="nil"/>
                <w:right w:val="nil"/>
                <w:between w:val="nil"/>
              </w:pBdr>
              <w:jc w:val="center"/>
              <w:rPr>
                <w:b/>
                <w:color w:val="913592"/>
                <w:szCs w:val="32"/>
                <w:lang w:val="en-US" w:bidi="en-US"/>
              </w:rPr>
            </w:pPr>
            <w:r w:rsidRPr="00B32DC7">
              <w:rPr>
                <w:b/>
                <w:color w:val="913592"/>
                <w:szCs w:val="32"/>
                <w:lang w:val="en-US" w:bidi="en-US"/>
              </w:rPr>
              <w:t>Concessions</w:t>
            </w:r>
          </w:p>
        </w:tc>
        <w:tc>
          <w:tcPr>
            <w:tcW w:w="2592" w:type="dxa"/>
          </w:tcPr>
          <w:p w14:paraId="706A0167"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A form of PPP where special agreements are made with individual private preschool providers, typically to provide support to that specific provider</w:t>
            </w:r>
          </w:p>
        </w:tc>
        <w:tc>
          <w:tcPr>
            <w:tcW w:w="2592" w:type="dxa"/>
          </w:tcPr>
          <w:p w14:paraId="2DC4ADAD" w14:textId="77777777" w:rsidR="00906C57" w:rsidRPr="00B32DC7" w:rsidRDefault="00906C57" w:rsidP="00906C57">
            <w:pPr>
              <w:widowControl w:val="0"/>
              <w:numPr>
                <w:ilvl w:val="0"/>
                <w:numId w:val="25"/>
              </w:numPr>
              <w:pBdr>
                <w:top w:val="nil"/>
                <w:left w:val="nil"/>
                <w:bottom w:val="nil"/>
                <w:right w:val="nil"/>
                <w:between w:val="nil"/>
              </w:pBdr>
              <w:ind w:left="360"/>
              <w:rPr>
                <w:color w:val="58595B"/>
                <w:sz w:val="20"/>
                <w:szCs w:val="20"/>
              </w:rPr>
            </w:pPr>
            <w:r w:rsidRPr="00B32DC7">
              <w:rPr>
                <w:color w:val="58595B"/>
                <w:sz w:val="20"/>
                <w:szCs w:val="20"/>
              </w:rPr>
              <w:t>High potential for efficiency gains</w:t>
            </w:r>
          </w:p>
          <w:p w14:paraId="6D4796FE" w14:textId="77777777" w:rsidR="00906C57" w:rsidRPr="00B32DC7" w:rsidRDefault="00906C57" w:rsidP="00906C57">
            <w:pPr>
              <w:widowControl w:val="0"/>
              <w:numPr>
                <w:ilvl w:val="0"/>
                <w:numId w:val="25"/>
              </w:numPr>
              <w:pBdr>
                <w:top w:val="nil"/>
                <w:left w:val="nil"/>
                <w:bottom w:val="nil"/>
                <w:right w:val="nil"/>
                <w:between w:val="nil"/>
              </w:pBdr>
              <w:ind w:left="360"/>
              <w:rPr>
                <w:color w:val="58595B"/>
                <w:sz w:val="20"/>
                <w:szCs w:val="20"/>
              </w:rPr>
            </w:pPr>
            <w:r w:rsidRPr="00B32DC7">
              <w:rPr>
                <w:color w:val="58595B"/>
                <w:sz w:val="20"/>
                <w:szCs w:val="20"/>
              </w:rPr>
              <w:t>Private sector bears significant share of risks</w:t>
            </w:r>
            <w:r w:rsidRPr="00B32DC7">
              <w:rPr>
                <w:color w:val="58595B"/>
                <w:sz w:val="20"/>
                <w:szCs w:val="20"/>
              </w:rPr>
              <w:tab/>
            </w:r>
            <w:r w:rsidRPr="00B32DC7">
              <w:rPr>
                <w:color w:val="58595B"/>
                <w:sz w:val="20"/>
                <w:szCs w:val="20"/>
              </w:rPr>
              <w:tab/>
            </w:r>
          </w:p>
        </w:tc>
        <w:tc>
          <w:tcPr>
            <w:tcW w:w="2592" w:type="dxa"/>
          </w:tcPr>
          <w:p w14:paraId="6E78839C" w14:textId="77777777" w:rsidR="00906C57" w:rsidRPr="00B32DC7" w:rsidRDefault="00906C57" w:rsidP="00906C57">
            <w:pPr>
              <w:widowControl w:val="0"/>
              <w:numPr>
                <w:ilvl w:val="0"/>
                <w:numId w:val="20"/>
              </w:numPr>
              <w:pBdr>
                <w:top w:val="nil"/>
                <w:left w:val="nil"/>
                <w:bottom w:val="nil"/>
                <w:right w:val="nil"/>
                <w:between w:val="nil"/>
              </w:pBdr>
              <w:ind w:left="450"/>
              <w:rPr>
                <w:color w:val="58595B"/>
                <w:sz w:val="20"/>
                <w:szCs w:val="20"/>
              </w:rPr>
            </w:pPr>
            <w:r w:rsidRPr="00B32DC7">
              <w:rPr>
                <w:color w:val="58595B"/>
                <w:sz w:val="20"/>
                <w:szCs w:val="20"/>
              </w:rPr>
              <w:t xml:space="preserve">May have underlying fiscal costs to </w:t>
            </w:r>
            <w:proofErr w:type="gramStart"/>
            <w:r w:rsidRPr="00B32DC7">
              <w:rPr>
                <w:color w:val="58595B"/>
                <w:sz w:val="20"/>
                <w:szCs w:val="20"/>
              </w:rPr>
              <w:t>government</w:t>
            </w:r>
            <w:proofErr w:type="gramEnd"/>
          </w:p>
          <w:p w14:paraId="205DE2E6" w14:textId="77777777" w:rsidR="00906C57" w:rsidRPr="00B32DC7" w:rsidRDefault="00906C57" w:rsidP="00906C57">
            <w:pPr>
              <w:widowControl w:val="0"/>
              <w:numPr>
                <w:ilvl w:val="0"/>
                <w:numId w:val="20"/>
              </w:numPr>
              <w:pBdr>
                <w:top w:val="nil"/>
                <w:left w:val="nil"/>
                <w:bottom w:val="nil"/>
                <w:right w:val="nil"/>
                <w:between w:val="nil"/>
              </w:pBdr>
              <w:ind w:left="450"/>
              <w:rPr>
                <w:color w:val="58595B"/>
                <w:sz w:val="20"/>
                <w:szCs w:val="20"/>
              </w:rPr>
            </w:pPr>
            <w:r w:rsidRPr="00B32DC7">
              <w:rPr>
                <w:color w:val="58595B"/>
                <w:sz w:val="20"/>
                <w:szCs w:val="20"/>
              </w:rPr>
              <w:t xml:space="preserve">Highly complex to implement and </w:t>
            </w:r>
            <w:proofErr w:type="gramStart"/>
            <w:r w:rsidRPr="00B32DC7">
              <w:rPr>
                <w:color w:val="58595B"/>
                <w:sz w:val="20"/>
                <w:szCs w:val="20"/>
              </w:rPr>
              <w:t>administer</w:t>
            </w:r>
            <w:proofErr w:type="gramEnd"/>
          </w:p>
          <w:p w14:paraId="4CD64255" w14:textId="77777777" w:rsidR="00906C57" w:rsidRPr="00B32DC7" w:rsidRDefault="00906C57" w:rsidP="00906C57">
            <w:pPr>
              <w:widowControl w:val="0"/>
              <w:numPr>
                <w:ilvl w:val="0"/>
                <w:numId w:val="20"/>
              </w:numPr>
              <w:pBdr>
                <w:top w:val="nil"/>
                <w:left w:val="nil"/>
                <w:bottom w:val="nil"/>
                <w:right w:val="nil"/>
                <w:between w:val="nil"/>
              </w:pBdr>
              <w:ind w:left="450"/>
              <w:rPr>
                <w:color w:val="58595B"/>
                <w:sz w:val="20"/>
                <w:szCs w:val="20"/>
              </w:rPr>
            </w:pPr>
            <w:r w:rsidRPr="00B32DC7">
              <w:rPr>
                <w:color w:val="58595B"/>
                <w:sz w:val="20"/>
                <w:szCs w:val="20"/>
              </w:rPr>
              <w:t>May require close regulatory oversight</w:t>
            </w:r>
          </w:p>
        </w:tc>
        <w:tc>
          <w:tcPr>
            <w:tcW w:w="2592" w:type="dxa"/>
          </w:tcPr>
          <w:p w14:paraId="52BB9A3C" w14:textId="77777777" w:rsidR="00906C57" w:rsidRPr="00B32DC7" w:rsidRDefault="00906C57" w:rsidP="003F4C69">
            <w:pPr>
              <w:widowControl w:val="0"/>
              <w:pBdr>
                <w:top w:val="nil"/>
                <w:left w:val="nil"/>
                <w:bottom w:val="nil"/>
                <w:right w:val="nil"/>
                <w:between w:val="nil"/>
              </w:pBdr>
              <w:rPr>
                <w:color w:val="58595B"/>
                <w:sz w:val="20"/>
                <w:szCs w:val="20"/>
              </w:rPr>
            </w:pPr>
            <w:r w:rsidRPr="00B32DC7">
              <w:rPr>
                <w:color w:val="58595B"/>
                <w:sz w:val="20"/>
                <w:szCs w:val="20"/>
              </w:rPr>
              <w:t xml:space="preserve">In Hong Kong, the government provides  </w:t>
            </w:r>
            <w:hyperlink r:id="rId74">
              <w:r w:rsidRPr="00B32DC7">
                <w:rPr>
                  <w:color w:val="58595B"/>
                  <w:sz w:val="20"/>
                  <w:szCs w:val="20"/>
                  <w:u w:val="single"/>
                </w:rPr>
                <w:t>vouchers</w:t>
              </w:r>
            </w:hyperlink>
            <w:r w:rsidRPr="00B32DC7">
              <w:rPr>
                <w:color w:val="58595B"/>
                <w:sz w:val="20"/>
                <w:szCs w:val="20"/>
              </w:rPr>
              <w:t xml:space="preserve"> to the parents of kindergarten students to meet part of kindergarten school fees, with the aim to alleviate parents’ financial pressure and facilitate parental choice.</w:t>
            </w:r>
          </w:p>
        </w:tc>
      </w:tr>
    </w:tbl>
    <w:p w14:paraId="0B278D76" w14:textId="77777777" w:rsidR="00906C57" w:rsidRPr="00B32DC7" w:rsidRDefault="00906C57" w:rsidP="00906C57">
      <w:pPr>
        <w:rPr>
          <w:color w:val="58595B"/>
        </w:rPr>
      </w:pPr>
    </w:p>
    <w:p w14:paraId="7E64A624" w14:textId="51A7EA9F" w:rsidR="00906C57" w:rsidRPr="006F13B4" w:rsidRDefault="00906C57">
      <w:pPr>
        <w:rPr>
          <w:i/>
          <w:iCs/>
          <w:color w:val="58595B"/>
        </w:rPr>
      </w:pPr>
      <w:r w:rsidRPr="006F13B4">
        <w:rPr>
          <w:i/>
          <w:iCs/>
          <w:color w:val="58595B"/>
        </w:rPr>
        <w:t xml:space="preserve">This table is adapted from </w:t>
      </w:r>
      <w:hyperlink r:id="rId75">
        <w:r w:rsidRPr="006F13B4">
          <w:rPr>
            <w:i/>
            <w:iCs/>
            <w:color w:val="58595B"/>
            <w:u w:val="single"/>
          </w:rPr>
          <w:t>Add Today Multiple Tomorrow (UNICEF, 2022)</w:t>
        </w:r>
      </w:hyperlink>
      <w:r w:rsidRPr="006F13B4">
        <w:rPr>
          <w:i/>
          <w:iCs/>
          <w:color w:val="58595B"/>
        </w:rPr>
        <w:t>.</w:t>
      </w:r>
    </w:p>
    <w:sectPr w:rsidR="00906C57" w:rsidRPr="006F13B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93C7" w14:textId="77777777" w:rsidR="00D215CC" w:rsidRDefault="00D215CC" w:rsidP="00FD72C8">
      <w:pPr>
        <w:spacing w:line="240" w:lineRule="auto"/>
      </w:pPr>
      <w:r>
        <w:separator/>
      </w:r>
    </w:p>
  </w:endnote>
  <w:endnote w:type="continuationSeparator" w:id="0">
    <w:p w14:paraId="173CC6BD" w14:textId="77777777" w:rsidR="00D215CC" w:rsidRDefault="00D215CC" w:rsidP="00FD7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7037227"/>
      <w:docPartObj>
        <w:docPartGallery w:val="Page Numbers (Bottom of Page)"/>
        <w:docPartUnique/>
      </w:docPartObj>
    </w:sdtPr>
    <w:sdtContent>
      <w:p w14:paraId="2D2DD9CE" w14:textId="2D1D5F18" w:rsidR="00FD72C8" w:rsidRDefault="00FD72C8" w:rsidP="00DC0B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DCA7C" w14:textId="77777777" w:rsidR="00FD72C8" w:rsidRDefault="00FD72C8" w:rsidP="00FD7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170203"/>
      <w:docPartObj>
        <w:docPartGallery w:val="Page Numbers (Bottom of Page)"/>
        <w:docPartUnique/>
      </w:docPartObj>
    </w:sdtPr>
    <w:sdtContent>
      <w:p w14:paraId="62F1BEE0" w14:textId="04F19A70" w:rsidR="00FD72C8" w:rsidRDefault="00FD72C8" w:rsidP="00DC0B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930CB" w14:textId="77777777" w:rsidR="00FD72C8" w:rsidRDefault="00FD72C8" w:rsidP="00FD72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BD22" w14:textId="77777777" w:rsidR="00D215CC" w:rsidRDefault="00D215CC" w:rsidP="00FD72C8">
      <w:pPr>
        <w:spacing w:line="240" w:lineRule="auto"/>
      </w:pPr>
      <w:r>
        <w:separator/>
      </w:r>
    </w:p>
  </w:footnote>
  <w:footnote w:type="continuationSeparator" w:id="0">
    <w:p w14:paraId="6FA49EDD" w14:textId="77777777" w:rsidR="00D215CC" w:rsidRDefault="00D215CC" w:rsidP="00FD72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BDA"/>
    <w:multiLevelType w:val="multilevel"/>
    <w:tmpl w:val="AFB43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701EF"/>
    <w:multiLevelType w:val="multilevel"/>
    <w:tmpl w:val="B5726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D00E5"/>
    <w:multiLevelType w:val="hybridMultilevel"/>
    <w:tmpl w:val="6CA43124"/>
    <w:lvl w:ilvl="0" w:tplc="C01CAE4A">
      <w:start w:val="1"/>
      <w:numFmt w:val="bullet"/>
      <w:lvlText w:val=""/>
      <w:lvlJc w:val="left"/>
      <w:pPr>
        <w:ind w:left="1339" w:hanging="360"/>
      </w:pPr>
      <w:rPr>
        <w:rFonts w:ascii="Wingdings" w:hAnsi="Wingdings" w:hint="default"/>
        <w:b/>
        <w:color w:val="7030A0"/>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 w15:restartNumberingAfterBreak="0">
    <w:nsid w:val="066752FA"/>
    <w:multiLevelType w:val="multilevel"/>
    <w:tmpl w:val="F9D05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7C3331"/>
    <w:multiLevelType w:val="multilevel"/>
    <w:tmpl w:val="2990F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F23AD8"/>
    <w:multiLevelType w:val="multilevel"/>
    <w:tmpl w:val="76681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5451FC"/>
    <w:multiLevelType w:val="multilevel"/>
    <w:tmpl w:val="9A869AB4"/>
    <w:lvl w:ilvl="0">
      <w:start w:val="4"/>
      <w:numFmt w:val="bullet"/>
      <w:lvlText w:val="-"/>
      <w:lvlJc w:val="left"/>
      <w:pPr>
        <w:ind w:left="360" w:hanging="360"/>
      </w:pPr>
      <w:rPr>
        <w:rFonts w:ascii="Roboto" w:eastAsiaTheme="minorHAnsi" w:hAnsi="Roboto"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0F944B24"/>
    <w:multiLevelType w:val="multilevel"/>
    <w:tmpl w:val="EAA4414E"/>
    <w:lvl w:ilvl="0">
      <w:start w:val="4"/>
      <w:numFmt w:val="bullet"/>
      <w:lvlText w:val="-"/>
      <w:lvlJc w:val="left"/>
      <w:pPr>
        <w:ind w:left="360" w:hanging="360"/>
      </w:pPr>
      <w:rPr>
        <w:rFonts w:ascii="Roboto" w:eastAsiaTheme="minorHAnsi" w:hAnsi="Roboto"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1995126C"/>
    <w:multiLevelType w:val="multilevel"/>
    <w:tmpl w:val="FCFE4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BA6CDA"/>
    <w:multiLevelType w:val="multilevel"/>
    <w:tmpl w:val="9002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2703E0"/>
    <w:multiLevelType w:val="hybridMultilevel"/>
    <w:tmpl w:val="8AE26172"/>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048B3"/>
    <w:multiLevelType w:val="multilevel"/>
    <w:tmpl w:val="701E8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ED6869"/>
    <w:multiLevelType w:val="multilevel"/>
    <w:tmpl w:val="92428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296D2B"/>
    <w:multiLevelType w:val="hybridMultilevel"/>
    <w:tmpl w:val="A1827EB4"/>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26DE6"/>
    <w:multiLevelType w:val="hybridMultilevel"/>
    <w:tmpl w:val="FA8EC3AE"/>
    <w:lvl w:ilvl="0" w:tplc="A28C70CA">
      <w:start w:val="1"/>
      <w:numFmt w:val="bullet"/>
      <w:lvlText w:val=""/>
      <w:lvlJc w:val="left"/>
      <w:pPr>
        <w:ind w:left="1080" w:hanging="360"/>
      </w:pPr>
      <w:rPr>
        <w:rFonts w:ascii="Wingdings" w:hAnsi="Wingdings" w:hint="default"/>
        <w:b/>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B056D6"/>
    <w:multiLevelType w:val="multilevel"/>
    <w:tmpl w:val="180A9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FF2C5A"/>
    <w:multiLevelType w:val="multilevel"/>
    <w:tmpl w:val="4F9A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921AD5"/>
    <w:multiLevelType w:val="multilevel"/>
    <w:tmpl w:val="2490F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3E6D0F"/>
    <w:multiLevelType w:val="multilevel"/>
    <w:tmpl w:val="3B463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C8356D"/>
    <w:multiLevelType w:val="multilevel"/>
    <w:tmpl w:val="9B069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AA6381"/>
    <w:multiLevelType w:val="multilevel"/>
    <w:tmpl w:val="34E6D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F735B0"/>
    <w:multiLevelType w:val="multilevel"/>
    <w:tmpl w:val="A7780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D33E3D"/>
    <w:multiLevelType w:val="hybridMultilevel"/>
    <w:tmpl w:val="E0C80950"/>
    <w:lvl w:ilvl="0" w:tplc="0414BB96">
      <w:start w:val="4"/>
      <w:numFmt w:val="bullet"/>
      <w:lvlText w:val="-"/>
      <w:lvlJc w:val="left"/>
      <w:pPr>
        <w:ind w:left="360" w:hanging="360"/>
      </w:pPr>
      <w:rPr>
        <w:rFonts w:ascii="Roboto" w:eastAsiaTheme="minorHAnsi" w:hAnsi="Robot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F4671"/>
    <w:multiLevelType w:val="multilevel"/>
    <w:tmpl w:val="2F0AF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5F7A92"/>
    <w:multiLevelType w:val="multilevel"/>
    <w:tmpl w:val="5E52DFB0"/>
    <w:lvl w:ilvl="0">
      <w:start w:val="4"/>
      <w:numFmt w:val="bullet"/>
      <w:lvlText w:val="-"/>
      <w:lvlJc w:val="left"/>
      <w:pPr>
        <w:ind w:left="360" w:hanging="360"/>
      </w:pPr>
      <w:rPr>
        <w:rFonts w:ascii="Roboto" w:eastAsiaTheme="minorHAnsi" w:hAnsi="Roboto"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43CC3AC2"/>
    <w:multiLevelType w:val="multilevel"/>
    <w:tmpl w:val="C00069E4"/>
    <w:lvl w:ilvl="0">
      <w:start w:val="4"/>
      <w:numFmt w:val="bullet"/>
      <w:lvlText w:val="-"/>
      <w:lvlJc w:val="left"/>
      <w:pPr>
        <w:ind w:left="720" w:hanging="360"/>
      </w:pPr>
      <w:rPr>
        <w:rFonts w:ascii="Roboto" w:eastAsiaTheme="minorHAnsi" w:hAnsi="Roboto"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3D1965"/>
    <w:multiLevelType w:val="hybridMultilevel"/>
    <w:tmpl w:val="010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85377"/>
    <w:multiLevelType w:val="multilevel"/>
    <w:tmpl w:val="829AD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AE2D91"/>
    <w:multiLevelType w:val="hybridMultilevel"/>
    <w:tmpl w:val="9C6E9942"/>
    <w:lvl w:ilvl="0" w:tplc="83D4FEA4">
      <w:start w:val="1"/>
      <w:numFmt w:val="bullet"/>
      <w:lvlText w:val="n"/>
      <w:lvlJc w:val="left"/>
      <w:pPr>
        <w:ind w:left="1080" w:hanging="360"/>
      </w:pPr>
      <w:rPr>
        <w:rFonts w:ascii="Wingdings" w:hAnsi="Wingdings" w:hint="default"/>
        <w:b/>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C4C5B"/>
    <w:multiLevelType w:val="hybridMultilevel"/>
    <w:tmpl w:val="4BAA4C56"/>
    <w:lvl w:ilvl="0" w:tplc="0414BB96">
      <w:start w:val="4"/>
      <w:numFmt w:val="bullet"/>
      <w:lvlText w:val="-"/>
      <w:lvlJc w:val="left"/>
      <w:pPr>
        <w:ind w:left="720" w:hanging="360"/>
      </w:pPr>
      <w:rPr>
        <w:rFonts w:ascii="Roboto" w:eastAsiaTheme="minorHAnsi" w:hAnsi="Robot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242B53"/>
    <w:multiLevelType w:val="multilevel"/>
    <w:tmpl w:val="A996838A"/>
    <w:lvl w:ilvl="0">
      <w:start w:val="1"/>
      <w:numFmt w:val="bullet"/>
      <w:lvlText w:val=""/>
      <w:lvlJc w:val="left"/>
      <w:pPr>
        <w:ind w:left="720" w:hanging="360"/>
      </w:pPr>
      <w:rPr>
        <w:rFonts w:ascii="Wingdings" w:hAnsi="Wingdings" w:hint="default"/>
        <w:b/>
        <w:color w:val="7030A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50EA6D23"/>
    <w:multiLevelType w:val="multilevel"/>
    <w:tmpl w:val="291EE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7C04AF"/>
    <w:multiLevelType w:val="multilevel"/>
    <w:tmpl w:val="C46A8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A328EB"/>
    <w:multiLevelType w:val="multilevel"/>
    <w:tmpl w:val="E362C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C56685"/>
    <w:multiLevelType w:val="multilevel"/>
    <w:tmpl w:val="6D48F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6E1090"/>
    <w:multiLevelType w:val="multilevel"/>
    <w:tmpl w:val="2C58B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AF19AB"/>
    <w:multiLevelType w:val="multilevel"/>
    <w:tmpl w:val="DA42C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C61838"/>
    <w:multiLevelType w:val="multilevel"/>
    <w:tmpl w:val="9410B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180817"/>
    <w:multiLevelType w:val="multilevel"/>
    <w:tmpl w:val="0CD00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DD4DF3"/>
    <w:multiLevelType w:val="multilevel"/>
    <w:tmpl w:val="7312E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0155EE"/>
    <w:multiLevelType w:val="multilevel"/>
    <w:tmpl w:val="918E5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FAA1E32"/>
    <w:multiLevelType w:val="multilevel"/>
    <w:tmpl w:val="3F42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1063488"/>
    <w:multiLevelType w:val="multilevel"/>
    <w:tmpl w:val="01B4B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A3583B"/>
    <w:multiLevelType w:val="multilevel"/>
    <w:tmpl w:val="2254434A"/>
    <w:lvl w:ilvl="0">
      <w:start w:val="1"/>
      <w:numFmt w:val="bullet"/>
      <w:lvlText w:val=""/>
      <w:lvlJc w:val="left"/>
      <w:pPr>
        <w:ind w:left="720" w:hanging="360"/>
      </w:pPr>
      <w:rPr>
        <w:rFonts w:ascii="Wingdings" w:hAnsi="Wingdings"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A61A19"/>
    <w:multiLevelType w:val="hybridMultilevel"/>
    <w:tmpl w:val="9C84DA2C"/>
    <w:lvl w:ilvl="0" w:tplc="C01CAE4A">
      <w:start w:val="1"/>
      <w:numFmt w:val="bullet"/>
      <w:lvlText w:val=""/>
      <w:lvlJc w:val="left"/>
      <w:pPr>
        <w:ind w:left="1080" w:hanging="360"/>
      </w:pPr>
      <w:rPr>
        <w:rFonts w:ascii="Wingdings" w:hAnsi="Wingdings" w:hint="default"/>
        <w:b/>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197DDD"/>
    <w:multiLevelType w:val="hybridMultilevel"/>
    <w:tmpl w:val="C258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420412">
    <w:abstractNumId w:val="35"/>
  </w:num>
  <w:num w:numId="2" w16cid:durableId="2093893550">
    <w:abstractNumId w:val="16"/>
  </w:num>
  <w:num w:numId="3" w16cid:durableId="1568691426">
    <w:abstractNumId w:val="0"/>
  </w:num>
  <w:num w:numId="4" w16cid:durableId="1358502396">
    <w:abstractNumId w:val="38"/>
  </w:num>
  <w:num w:numId="5" w16cid:durableId="2053922814">
    <w:abstractNumId w:val="21"/>
  </w:num>
  <w:num w:numId="6" w16cid:durableId="1597858344">
    <w:abstractNumId w:val="20"/>
  </w:num>
  <w:num w:numId="7" w16cid:durableId="1645423905">
    <w:abstractNumId w:val="8"/>
  </w:num>
  <w:num w:numId="8" w16cid:durableId="2095660643">
    <w:abstractNumId w:val="5"/>
  </w:num>
  <w:num w:numId="9" w16cid:durableId="669450932">
    <w:abstractNumId w:val="41"/>
  </w:num>
  <w:num w:numId="10" w16cid:durableId="1572544616">
    <w:abstractNumId w:val="17"/>
  </w:num>
  <w:num w:numId="11" w16cid:durableId="1593389839">
    <w:abstractNumId w:val="9"/>
  </w:num>
  <w:num w:numId="12" w16cid:durableId="212499998">
    <w:abstractNumId w:val="15"/>
  </w:num>
  <w:num w:numId="13" w16cid:durableId="518197659">
    <w:abstractNumId w:val="31"/>
  </w:num>
  <w:num w:numId="14" w16cid:durableId="334304314">
    <w:abstractNumId w:val="3"/>
  </w:num>
  <w:num w:numId="15" w16cid:durableId="465781650">
    <w:abstractNumId w:val="39"/>
  </w:num>
  <w:num w:numId="16" w16cid:durableId="1748915028">
    <w:abstractNumId w:val="40"/>
  </w:num>
  <w:num w:numId="17" w16cid:durableId="158693530">
    <w:abstractNumId w:val="23"/>
  </w:num>
  <w:num w:numId="18" w16cid:durableId="143088601">
    <w:abstractNumId w:val="34"/>
  </w:num>
  <w:num w:numId="19" w16cid:durableId="1495947815">
    <w:abstractNumId w:val="36"/>
  </w:num>
  <w:num w:numId="20" w16cid:durableId="1703508624">
    <w:abstractNumId w:val="19"/>
  </w:num>
  <w:num w:numId="21" w16cid:durableId="1137408190">
    <w:abstractNumId w:val="32"/>
  </w:num>
  <w:num w:numId="22" w16cid:durableId="1543638750">
    <w:abstractNumId w:val="4"/>
  </w:num>
  <w:num w:numId="23" w16cid:durableId="400830946">
    <w:abstractNumId w:val="37"/>
  </w:num>
  <w:num w:numId="24" w16cid:durableId="2036537314">
    <w:abstractNumId w:val="11"/>
  </w:num>
  <w:num w:numId="25" w16cid:durableId="2113013830">
    <w:abstractNumId w:val="1"/>
  </w:num>
  <w:num w:numId="26" w16cid:durableId="520120762">
    <w:abstractNumId w:val="18"/>
  </w:num>
  <w:num w:numId="27" w16cid:durableId="1100755943">
    <w:abstractNumId w:val="27"/>
  </w:num>
  <w:num w:numId="28" w16cid:durableId="1880627058">
    <w:abstractNumId w:val="33"/>
  </w:num>
  <w:num w:numId="29" w16cid:durableId="530608306">
    <w:abstractNumId w:val="12"/>
  </w:num>
  <w:num w:numId="30" w16cid:durableId="921379614">
    <w:abstractNumId w:val="42"/>
  </w:num>
  <w:num w:numId="31" w16cid:durableId="426998488">
    <w:abstractNumId w:val="45"/>
  </w:num>
  <w:num w:numId="32" w16cid:durableId="754784629">
    <w:abstractNumId w:val="26"/>
  </w:num>
  <w:num w:numId="33" w16cid:durableId="440691028">
    <w:abstractNumId w:val="43"/>
  </w:num>
  <w:num w:numId="34" w16cid:durableId="1077751832">
    <w:abstractNumId w:val="28"/>
  </w:num>
  <w:num w:numId="35" w16cid:durableId="1613247457">
    <w:abstractNumId w:val="14"/>
  </w:num>
  <w:num w:numId="36" w16cid:durableId="1916893050">
    <w:abstractNumId w:val="44"/>
  </w:num>
  <w:num w:numId="37" w16cid:durableId="1552884663">
    <w:abstractNumId w:val="30"/>
  </w:num>
  <w:num w:numId="38" w16cid:durableId="33585721">
    <w:abstractNumId w:val="29"/>
  </w:num>
  <w:num w:numId="39" w16cid:durableId="1480656367">
    <w:abstractNumId w:val="25"/>
  </w:num>
  <w:num w:numId="40" w16cid:durableId="463549896">
    <w:abstractNumId w:val="2"/>
  </w:num>
  <w:num w:numId="41" w16cid:durableId="1499347818">
    <w:abstractNumId w:val="10"/>
  </w:num>
  <w:num w:numId="42" w16cid:durableId="30038466">
    <w:abstractNumId w:val="13"/>
  </w:num>
  <w:num w:numId="43" w16cid:durableId="104933062">
    <w:abstractNumId w:val="24"/>
  </w:num>
  <w:num w:numId="44" w16cid:durableId="1635600311">
    <w:abstractNumId w:val="7"/>
  </w:num>
  <w:num w:numId="45" w16cid:durableId="1839534963">
    <w:abstractNumId w:val="6"/>
  </w:num>
  <w:num w:numId="46" w16cid:durableId="748306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79"/>
    <w:rsid w:val="00004344"/>
    <w:rsid w:val="000B4AB8"/>
    <w:rsid w:val="00155AFB"/>
    <w:rsid w:val="00160590"/>
    <w:rsid w:val="00254079"/>
    <w:rsid w:val="002A1A2C"/>
    <w:rsid w:val="003B74ED"/>
    <w:rsid w:val="003C048E"/>
    <w:rsid w:val="00460208"/>
    <w:rsid w:val="00467993"/>
    <w:rsid w:val="004A405B"/>
    <w:rsid w:val="006F13B4"/>
    <w:rsid w:val="008E6B38"/>
    <w:rsid w:val="008F1D6A"/>
    <w:rsid w:val="00906C57"/>
    <w:rsid w:val="00975857"/>
    <w:rsid w:val="00A66AB5"/>
    <w:rsid w:val="00B32DC7"/>
    <w:rsid w:val="00D215CC"/>
    <w:rsid w:val="00D529BF"/>
    <w:rsid w:val="00D52A52"/>
    <w:rsid w:val="00D64FE2"/>
    <w:rsid w:val="00DF4EAE"/>
    <w:rsid w:val="00EB3806"/>
    <w:rsid w:val="00FD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C6F79C"/>
  <w15:docId w15:val="{C7742672-CFCB-D84B-A30E-4A624ED5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F4EAE"/>
    <w:pPr>
      <w:ind w:left="720"/>
      <w:contextualSpacing/>
    </w:pPr>
  </w:style>
  <w:style w:type="table" w:styleId="TableGridLight">
    <w:name w:val="Grid Table Light"/>
    <w:basedOn w:val="TableNormal"/>
    <w:uiPriority w:val="40"/>
    <w:rsid w:val="00B32DC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32DC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FD72C8"/>
    <w:pPr>
      <w:tabs>
        <w:tab w:val="center" w:pos="4680"/>
        <w:tab w:val="right" w:pos="9360"/>
      </w:tabs>
      <w:spacing w:line="240" w:lineRule="auto"/>
    </w:pPr>
  </w:style>
  <w:style w:type="character" w:customStyle="1" w:styleId="FooterChar">
    <w:name w:val="Footer Char"/>
    <w:basedOn w:val="DefaultParagraphFont"/>
    <w:link w:val="Footer"/>
    <w:uiPriority w:val="99"/>
    <w:rsid w:val="00FD72C8"/>
  </w:style>
  <w:style w:type="character" w:styleId="PageNumber">
    <w:name w:val="page number"/>
    <w:basedOn w:val="DefaultParagraphFont"/>
    <w:uiPriority w:val="99"/>
    <w:semiHidden/>
    <w:unhideWhenUsed/>
    <w:rsid w:val="00FD72C8"/>
  </w:style>
  <w:style w:type="character" w:styleId="Hyperlink">
    <w:name w:val="Hyperlink"/>
    <w:basedOn w:val="DefaultParagraphFont"/>
    <w:uiPriority w:val="99"/>
    <w:unhideWhenUsed/>
    <w:rsid w:val="00467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prba.org/knowledge/resources/guide-effective-results-based-strategies" TargetMode="External"/><Relationship Id="rId21" Type="http://schemas.openxmlformats.org/officeDocument/2006/relationships/hyperlink" Target="https://futurehumanitarianfinancing.files.wordpress.com/2015/01/fhf-innovative-financing.pdf" TargetMode="External"/><Relationship Id="rId42" Type="http://schemas.openxmlformats.org/officeDocument/2006/relationships/hyperlink" Target="https://www.unicef.org/uzbekistan/media/3731/file/PPP%20for%20ECCE_Eng.pdf" TargetMode="External"/><Relationship Id="rId47" Type="http://schemas.openxmlformats.org/officeDocument/2006/relationships/hyperlink" Target="https://assets.globalpartnership.org/s3fs-public/document/file/2022-02-gpe-partnership-compact-development-guidelines.pdf?VersionId=QWtXsVyBvIyJ17_52O_l.rQY4pXoQw3o" TargetMode="External"/><Relationship Id="rId63" Type="http://schemas.openxmlformats.org/officeDocument/2006/relationships/hyperlink" Target="https://the.akdn/en/resources-media/resources/publications/early-childhood-development-ecd-and-corporate-social-responsibility-csr" TargetMode="External"/><Relationship Id="rId68" Type="http://schemas.openxmlformats.org/officeDocument/2006/relationships/hyperlink" Target="https://documents1.worldbank.org/curated/en/401781530031676992/pdf/Disclosable-Restructuring-Paper-Second-Global-Partnership-for-Education-P149130.pdf" TargetMode="External"/><Relationship Id="rId16" Type="http://schemas.openxmlformats.org/officeDocument/2006/relationships/hyperlink" Target="https://www.citigroup.com/citi/foundation/pdf/innovative_financing_for_development.pdf" TargetMode="External"/><Relationship Id="rId11" Type="http://schemas.openxmlformats.org/officeDocument/2006/relationships/hyperlink" Target="https://www.ece-accelerator.org/resources/early-childhood-accelerator-simulation-model" TargetMode="External"/><Relationship Id="rId24" Type="http://schemas.openxmlformats.org/officeDocument/2006/relationships/hyperlink" Target="https://pure.uva.nl/ws/files/19123670/The_Impact_of_Expanding_Access.pdf" TargetMode="External"/><Relationship Id="rId32" Type="http://schemas.openxmlformats.org/officeDocument/2006/relationships/hyperlink" Target="https://www.unicef.org/media/119771/file/Expanding%20quality%20early%20learning%20through%20results-based%20financing%20(Cambodia).pdf" TargetMode="External"/><Relationship Id="rId37" Type="http://schemas.openxmlformats.org/officeDocument/2006/relationships/hyperlink" Target="https://www.unicef.org/media/129836/file/Add%20Today%20Multiply%20Tomorrow:%20Building%20an%20Investment%20Case%20for%20Early%20Childhood%20Education%20%20%20%20%20%20%20%20%20%20%20%20%20%20%20%20%20%20%20%20%20%20%20%20%20%20%20%20%20.pdf" TargetMode="External"/><Relationship Id="rId40" Type="http://schemas.openxmlformats.org/officeDocument/2006/relationships/hyperlink" Target="https://bernardvanleer.org/app/uploads/2016/07/Early-Childhood-Matters-2016_9.pdf" TargetMode="External"/><Relationship Id="rId45" Type="http://schemas.openxmlformats.org/officeDocument/2006/relationships/hyperlink" Target="https://www.opml.co.uk/projects/studying-feasibility-public-private-partnerships-increasing-preschool-enrolment" TargetMode="External"/><Relationship Id="rId53" Type="http://schemas.openxmlformats.org/officeDocument/2006/relationships/hyperlink" Target="https://www.globalpartnership.org/results/stories-of-change/kyrgyz-republic-preparing-children-primary-school" TargetMode="External"/><Relationship Id="rId58" Type="http://schemas.openxmlformats.org/officeDocument/2006/relationships/hyperlink" Target="https://www.globalpartnership.org/funding/applying-for-grants" TargetMode="External"/><Relationship Id="rId66" Type="http://schemas.openxmlformats.org/officeDocument/2006/relationships/hyperlink" Target="https://www.naandi.org/" TargetMode="External"/><Relationship Id="rId74" Type="http://schemas.openxmlformats.org/officeDocument/2006/relationships/hyperlink" Target="https://hkier.cuhk.edu.hk/journal/document/EJ/ej_v36n1-2_153-170.pdf"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futurehumanitarianfinancing.files.wordpress.com/2015/01/fhf-innovative-financing.pdf" TargetMode="External"/><Relationship Id="rId14" Type="http://schemas.openxmlformats.org/officeDocument/2006/relationships/hyperlink" Target="https://www.ece-accelerator.org/resources/unicef-global-resource-guide-public-finance-children-ecd" TargetMode="External"/><Relationship Id="rId22" Type="http://schemas.openxmlformats.org/officeDocument/2006/relationships/hyperlink" Target="https://unesdoc.unesco.org/ark:/48223/pf0000148095" TargetMode="External"/><Relationship Id="rId27" Type="http://schemas.openxmlformats.org/officeDocument/2006/relationships/hyperlink" Target="https://www.brookings.edu/multi-chapter-report/measuring-the-success-of-impact-bonds/" TargetMode="External"/><Relationship Id="rId30" Type="http://schemas.openxmlformats.org/officeDocument/2006/relationships/hyperlink" Target="https://www.brookings.edu/research/using-impact-bonds-to-achieve-early-childhood-development-outcomes-in-low-and-middle-income-countries/" TargetMode="External"/><Relationship Id="rId35" Type="http://schemas.openxmlformats.org/officeDocument/2006/relationships/hyperlink" Target="https://golab.bsg.ox.ac.uk/knowledge-bank/case-studies/south-africa-impact-bond-innovation-fund/" TargetMode="External"/><Relationship Id="rId43" Type="http://schemas.openxmlformats.org/officeDocument/2006/relationships/hyperlink" Target="https://www.edu-links.org/resources/publicprivate-partnerships-education-conditions-success" TargetMode="External"/><Relationship Id="rId48" Type="http://schemas.openxmlformats.org/officeDocument/2006/relationships/hyperlink" Target="https://www.globalpartnership.org/funding/how-apply-grants" TargetMode="External"/><Relationship Id="rId56" Type="http://schemas.openxmlformats.org/officeDocument/2006/relationships/hyperlink" Target="https://www.globalpartnership.org/funding/applying-for-grants" TargetMode="External"/><Relationship Id="rId64" Type="http://schemas.openxmlformats.org/officeDocument/2006/relationships/hyperlink" Target="https://www.globalpartnership.org/funding/gpe-multiplier/Debt2Ed" TargetMode="External"/><Relationship Id="rId69" Type="http://schemas.openxmlformats.org/officeDocument/2006/relationships/hyperlink" Target="https://documents.worldbank.org/en/publication/documents-reports/documentdetail/489331538646764960/promoting-early-childhood-development-through-combining-cash-transfer-and-parenting-programs" TargetMode="External"/><Relationship Id="rId77" Type="http://schemas.openxmlformats.org/officeDocument/2006/relationships/theme" Target="theme/theme1.xml"/><Relationship Id="rId8" Type="http://schemas.openxmlformats.org/officeDocument/2006/relationships/hyperlink" Target="https://bernardvanleer.org/app/uploads/2016/07/Early-Childhood-Matters-2016_9.pdf" TargetMode="External"/><Relationship Id="rId51" Type="http://schemas.openxmlformats.org/officeDocument/2006/relationships/hyperlink" Target="https://www.globalpartnership.org/funding/how-apply-grants" TargetMode="External"/><Relationship Id="rId72" Type="http://schemas.openxmlformats.org/officeDocument/2006/relationships/hyperlink" Target="https://hkier.cuhk.edu.hk/journal/document/EJ/ej_v36n1-2_153-170.pdf" TargetMode="External"/><Relationship Id="rId3" Type="http://schemas.openxmlformats.org/officeDocument/2006/relationships/settings" Target="settings.xml"/><Relationship Id="rId12" Type="http://schemas.openxmlformats.org/officeDocument/2006/relationships/hyperlink" Target="https://www.unicef.org/reports/a-world-ready-to-learn-2019" TargetMode="External"/><Relationship Id="rId17" Type="http://schemas.openxmlformats.org/officeDocument/2006/relationships/hyperlink" Target="https://futurehumanitarianfinancing.files.wordpress.com/2015/01/fhf-innovative-financing.pdf" TargetMode="External"/><Relationship Id="rId25" Type="http://schemas.openxmlformats.org/officeDocument/2006/relationships/hyperlink" Target="https://www.worldbank.org/en/programs/reach" TargetMode="External"/><Relationship Id="rId33" Type="http://schemas.openxmlformats.org/officeDocument/2006/relationships/hyperlink" Target="https://www.edu-links.org/sites/default/files/media/file/Preschool%20Education%20in%20Morocco%20Challenges%20and%20Key%20Potential%20Inputs.pdf" TargetMode="External"/><Relationship Id="rId38" Type="http://schemas.openxmlformats.org/officeDocument/2006/relationships/hyperlink" Target="https://www.worldbank.org/en/programs/reach" TargetMode="External"/><Relationship Id="rId46" Type="http://schemas.openxmlformats.org/officeDocument/2006/relationships/hyperlink" Target="https://www.globalpartnership.org/where-we-work/partner-countries" TargetMode="External"/><Relationship Id="rId59" Type="http://schemas.openxmlformats.org/officeDocument/2006/relationships/hyperlink" Target="https://www.globalpartnership.org/blog/learning-partner-countries-piloting-gpe-2025-approach" TargetMode="External"/><Relationship Id="rId67" Type="http://schemas.openxmlformats.org/officeDocument/2006/relationships/hyperlink" Target="https://www.opensocietyfoundations.org/publications/impact-investing-education-overview-current-landscape" TargetMode="External"/><Relationship Id="rId20" Type="http://schemas.openxmlformats.org/officeDocument/2006/relationships/hyperlink" Target="https://futurehumanitarianfinancing.files.wordpress.com/2015/01/fhf-innovative-financing.pdf" TargetMode="External"/><Relationship Id="rId41" Type="http://schemas.openxmlformats.org/officeDocument/2006/relationships/hyperlink" Target="https://www.brookings.edu/wp-content/uploads/2016/11/global-20161129-public-private-partnerships.pdf" TargetMode="External"/><Relationship Id="rId54" Type="http://schemas.openxmlformats.org/officeDocument/2006/relationships/hyperlink" Target="https://www.globalpartnership.org/funding/how-apply-grants" TargetMode="External"/><Relationship Id="rId62" Type="http://schemas.openxmlformats.org/officeDocument/2006/relationships/hyperlink" Target="https://educationcommission.org/international-finance-facility-education/" TargetMode="External"/><Relationship Id="rId70" Type="http://schemas.openxmlformats.org/officeDocument/2006/relationships/hyperlink" Target="https://golab.bsg.ox.ac.uk/knowledge-bank/case-studies/south-africa-impact-bond-innovation-fund/" TargetMode="External"/><Relationship Id="rId75" Type="http://schemas.openxmlformats.org/officeDocument/2006/relationships/hyperlink" Target="https://www.unicef.org/reports/add-today-multiply-tomorro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lo.org/empent/areas/social-finance/WCMS_747999/lang--en/index.htm" TargetMode="External"/><Relationship Id="rId23" Type="http://schemas.openxmlformats.org/officeDocument/2006/relationships/hyperlink" Target="https://the.akdn/en/resources-media/resources/publications/early-childhood-development-ecd-and-corporate-social-responsibility-csr" TargetMode="External"/><Relationship Id="rId28" Type="http://schemas.openxmlformats.org/officeDocument/2006/relationships/hyperlink" Target="https://openknowledge.worldbank.org/handle/10986/30992" TargetMode="External"/><Relationship Id="rId36" Type="http://schemas.openxmlformats.org/officeDocument/2006/relationships/hyperlink" Target="https://www.unicef.org/media/119781/file/Lessons%20learned%20from%20designing%20social%20impact%20bonds%20to%20expand%20preschool%20education%20(Uzbekistan).pdf" TargetMode="External"/><Relationship Id="rId49" Type="http://schemas.openxmlformats.org/officeDocument/2006/relationships/hyperlink" Target="https://www.globalpartnership.org/funding/how-apply-grants" TargetMode="External"/><Relationship Id="rId57" Type="http://schemas.openxmlformats.org/officeDocument/2006/relationships/hyperlink" Target="https://www.globalpartnership.org/funding/applying-for-grants" TargetMode="External"/><Relationship Id="rId10" Type="http://schemas.openxmlformats.org/officeDocument/2006/relationships/hyperlink" Target="https://www.unicef.org/documents/unicef-programme-guidance-early-childhood-development" TargetMode="External"/><Relationship Id="rId31" Type="http://schemas.openxmlformats.org/officeDocument/2006/relationships/hyperlink" Target="https://www.brookings.edu/wp-content/uploads/2016/07/Policy-briefwebfinal.pdf" TargetMode="External"/><Relationship Id="rId44" Type="http://schemas.openxmlformats.org/officeDocument/2006/relationships/hyperlink" Target="https://drive.google.com/file/d/1_xHehjLdCQH_vVgYTAlztn6ELCwAYrrd/view?usp=share_link" TargetMode="External"/><Relationship Id="rId52" Type="http://schemas.openxmlformats.org/officeDocument/2006/relationships/hyperlink" Target="https://www.globalpartnership.org/funding/how-apply-grants" TargetMode="External"/><Relationship Id="rId60" Type="http://schemas.openxmlformats.org/officeDocument/2006/relationships/footer" Target="footer1.xml"/><Relationship Id="rId65" Type="http://schemas.openxmlformats.org/officeDocument/2006/relationships/hyperlink" Target="https://unesdoc.unesco.org/ark:/48223/pf0000148095" TargetMode="External"/><Relationship Id="rId73" Type="http://schemas.openxmlformats.org/officeDocument/2006/relationships/hyperlink" Target="https://www.unicef.org/media/129836/file/Add%20Today%20Multiply%20Tomorrow:%20Building%20an%20Investment%20Case%20for%20Early%20Childhood%20Education%20%20%20%20%20%20%20%20%20%20%20%20%20%20%20%20%20%20%20%20%20%20%20%20%20%20%20%20%20.pdf" TargetMode="External"/><Relationship Id="rId4" Type="http://schemas.openxmlformats.org/officeDocument/2006/relationships/webSettings" Target="webSettings.xml"/><Relationship Id="rId9" Type="http://schemas.openxmlformats.org/officeDocument/2006/relationships/hyperlink" Target="https://bernardvanleer.org/app/uploads/2016/07/Early-Childhood-Matters-2016_9.pdf" TargetMode="External"/><Relationship Id="rId13" Type="http://schemas.openxmlformats.org/officeDocument/2006/relationships/hyperlink" Target="https://www.unicef.org/reports/add-today-multiply-tomorrow" TargetMode="External"/><Relationship Id="rId18" Type="http://schemas.openxmlformats.org/officeDocument/2006/relationships/hyperlink" Target="https://futurehumanitarianfinancing.files.wordpress.com/2015/01/fhf-innovative-financing.pdf" TargetMode="External"/><Relationship Id="rId39" Type="http://schemas.openxmlformats.org/officeDocument/2006/relationships/hyperlink" Target="https://drive.google.com/file/d/1_xHehjLdCQH_vVgYTAlztn6ELCwAYrrd/view?usp=share_link" TargetMode="External"/><Relationship Id="rId34" Type="http://schemas.openxmlformats.org/officeDocument/2006/relationships/hyperlink" Target="https://www.unicef.org/media/119996/file/Advancing%20early%20learning%20through%20results-based%20financing%20(Sierra%20Leone).pdf" TargetMode="External"/><Relationship Id="rId50" Type="http://schemas.openxmlformats.org/officeDocument/2006/relationships/hyperlink" Target="https://www.globalpartnership.org/funding/how-apply-grants" TargetMode="External"/><Relationship Id="rId55" Type="http://schemas.openxmlformats.org/officeDocument/2006/relationships/hyperlink" Target="https://www.globalpartnership.org/blog/el-salvador-first-country-access-gpe-girls-education-accelerator" TargetMode="External"/><Relationship Id="rId76" Type="http://schemas.openxmlformats.org/officeDocument/2006/relationships/fontTable" Target="fontTable.xml"/><Relationship Id="rId7" Type="http://schemas.openxmlformats.org/officeDocument/2006/relationships/hyperlink" Target="https://bernardvanleer.org/app/uploads/2016/07/Early-Childhood-Matters-2016_9.pdf" TargetMode="External"/><Relationship Id="rId71" Type="http://schemas.openxmlformats.org/officeDocument/2006/relationships/hyperlink" Target="https://www.educationoutcomesfund.org/post/the-education-outcomes-fund-and-the-government-of-sierra-leone-launch-innovative-partnership-to-imp" TargetMode="External"/><Relationship Id="rId2" Type="http://schemas.openxmlformats.org/officeDocument/2006/relationships/styles" Target="styles.xml"/><Relationship Id="rId29" Type="http://schemas.openxmlformats.org/officeDocument/2006/relationships/hyperlink" Target="https://www.worldbank.org/en/programs/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6258</Words>
  <Characters>35673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stergakis</cp:lastModifiedBy>
  <cp:revision>4</cp:revision>
  <dcterms:created xsi:type="dcterms:W3CDTF">2023-05-16T11:43:00Z</dcterms:created>
  <dcterms:modified xsi:type="dcterms:W3CDTF">2023-05-16T11:45:00Z</dcterms:modified>
</cp:coreProperties>
</file>